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9B6" w:rsidRDefault="00AB33DE" w:rsidP="002549B6">
      <w:pPr>
        <w:pStyle w:val="Corpodetexto"/>
        <w:rPr>
          <w:rFonts w:ascii="Times New Roman"/>
          <w:sz w:val="10"/>
        </w:rPr>
      </w:pPr>
      <w:r>
        <w:rPr>
          <w:rFonts w:ascii="Times New Roman"/>
          <w:noProof/>
          <w:sz w:val="10"/>
          <w:lang w:val="pt-BR" w:eastAsia="pt-B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0699750" cy="6018530"/>
            <wp:effectExtent l="0" t="0" r="6350" b="1270"/>
            <wp:wrapNone/>
            <wp:docPr id="719" name="Imagem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Black White Grayscale Portfolio Presentatio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0" cy="601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pt-BR"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-161924</wp:posOffset>
                </wp:positionH>
                <wp:positionV relativeFrom="paragraph">
                  <wp:posOffset>-711200</wp:posOffset>
                </wp:positionV>
                <wp:extent cx="10858500" cy="14468475"/>
                <wp:effectExtent l="0" t="0" r="19050" b="28575"/>
                <wp:wrapNone/>
                <wp:docPr id="30" name="Retâ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0" cy="144684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84AFF" id="Retângulo 30" o:spid="_x0000_s1026" style="position:absolute;margin-left:-12.75pt;margin-top:-56pt;width:855pt;height:113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NBUiwIAAGYFAAAOAAAAZHJzL2Uyb0RvYy54bWysVM1u2zAMvg/YOwi6r7azpM2COkXQosOA&#10;og3aDj2rshQbk0RNUuJkj7NX6YuNkh0n67rLsItNiuTHf55fbLUiG+F8A6akxUlOiTAcqsasSvr1&#10;8frDlBIfmKmYAiNKuhOeXszfvztv7UyMoAZVCUcQxPhZa0tah2BnWeZ5LTTzJ2CFQaEEp1lA1q2y&#10;yrEW0bXKRnl+mrXgKuuAC+/x9aoT0nnCl1LwcCelF4GokmJsIX1d+j7HbzY/Z7OVY7ZueB8G+4co&#10;NGsMOh2grlhgZO2aP6B0wx14kOGEg85AyoaLlANmU+SvsnmomRUpFyyOt0OZ/P+D5bebpSNNVdKP&#10;WB7DNPboXoSXn2a1VkDwESvUWj9DxQe7dD3nkYzpbqXT8Y+JkG2q6m6oqtgGwvGxyKeT6SRHeI7C&#10;Yjw+nY7PJhE3OwBY58NnAZpEoqQOG5fqyTY3PnSqe5Xoz4NqqutGqcTEYRGXypENwzaHbdGDH2ll&#10;MYcu6kSFnRLRVpl7ITF/jHOUHKbJO4BV34ruuWaV6PAxFUymi2nQTskksIgqMbIBtwf4PciI20H0&#10;utFMpIEdDPO/BdQZDtrJI5gwGOrGgHvLWIXBa6ePYR+VI5LPUO1wIhx0q+Itv26wJTfMhyVzuBvY&#10;R9z3cIcfqaAtKfQUJTW4H2+9R30cWZRS0uKuldR/XzMnKFFfDA7zJxyKuJyJGU/ORsi4Y8nzscSs&#10;9SVgnwu8LJYnMuoHtSelA/2EZ2ERvaKIGY6+S8qD2zOXobsBeFi4WCySGi6kZeHGPFgewWNV48g9&#10;bp+Ys/1cBhzqW9jvJZu9Gs9ON1oaWKwDyCbN7qGufb1xmdPA9IcnXotjPmkdzuP8FwAAAP//AwBQ&#10;SwMEFAAGAAgAAAAhAHQIc2PhAAAADgEAAA8AAABkcnMvZG93bnJldi54bWxMj8FugzAQRO+V+g/W&#10;VuotMUaFRhQTpZE4RlWTirPBLkbBa4SdhP59N6f2trszmn1Tbhc3squZw+BRglgnwAx2Xg/YS/g6&#10;1asNsBAVajV6NBJ+TIBt9fhQqkL7G36a6zH2jEIwFEqCjXEqOA+dNU6FtZ8MkvbtZ6cirXPP9axu&#10;FO5GniZJzp0akD5YNZm9Nd35eHESpuZgk0bt3s+12Lf5of7A5pVL+fy07N6ARbPEPzPc8QkdKmJq&#10;/QV1YKOEVZplZKVBiJRa3S355oVurYRU5HkGvCr5/xrVLwAAAP//AwBQSwECLQAUAAYACAAAACEA&#10;toM4kv4AAADhAQAAEwAAAAAAAAAAAAAAAAAAAAAAW0NvbnRlbnRfVHlwZXNdLnhtbFBLAQItABQA&#10;BgAIAAAAIQA4/SH/1gAAAJQBAAALAAAAAAAAAAAAAAAAAC8BAABfcmVscy8ucmVsc1BLAQItABQA&#10;BgAIAAAAIQDsENBUiwIAAGYFAAAOAAAAAAAAAAAAAAAAAC4CAABkcnMvZTJvRG9jLnhtbFBLAQIt&#10;ABQABgAIAAAAIQB0CHNj4QAAAA4BAAAPAAAAAAAAAAAAAAAAAOUEAABkcnMvZG93bnJldi54bWxQ&#10;SwUGAAAAAAQABADzAAAA8wUAAAAA&#10;" fillcolor="black [3213]" strokecolor="black [1600]" strokeweight="1pt"/>
            </w:pict>
          </mc:Fallback>
        </mc:AlternateContent>
      </w:r>
    </w:p>
    <w:p w:rsidR="002549B6" w:rsidRDefault="002549B6" w:rsidP="002549B6">
      <w:pPr>
        <w:pStyle w:val="Corpodetexto"/>
        <w:rPr>
          <w:rFonts w:ascii="Times New Roman"/>
          <w:sz w:val="20"/>
        </w:rPr>
      </w:pPr>
    </w:p>
    <w:p w:rsidR="002549B6" w:rsidRDefault="002549B6" w:rsidP="002549B6">
      <w:pPr>
        <w:rPr>
          <w:rFonts w:ascii="Times New Roman"/>
          <w:sz w:val="20"/>
        </w:rPr>
        <w:sectPr w:rsidR="002549B6" w:rsidSect="002549B6">
          <w:headerReference w:type="default" r:id="rId9"/>
          <w:footerReference w:type="default" r:id="rId10"/>
          <w:pgSz w:w="16850" w:h="11920" w:orient="landscape"/>
          <w:pgMar w:top="1120" w:right="0" w:bottom="280" w:left="0" w:header="795" w:footer="0" w:gutter="0"/>
          <w:pgNumType w:start="1"/>
          <w:cols w:space="720"/>
        </w:sectPr>
      </w:pPr>
    </w:p>
    <w:p w:rsidR="002549B6" w:rsidRDefault="00D622F7" w:rsidP="002549B6">
      <w:pPr>
        <w:pStyle w:val="Corpodetexto"/>
        <w:rPr>
          <w:rFonts w:ascii="Times New Roman"/>
          <w:sz w:val="20"/>
        </w:rPr>
      </w:pPr>
      <w:r>
        <w:rPr>
          <w:rFonts w:ascii="Times New Roman"/>
          <w:noProof/>
          <w:sz w:val="10"/>
          <w:lang w:val="pt-BR"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0699750" cy="6018530"/>
            <wp:effectExtent l="0" t="0" r="6350" b="1270"/>
            <wp:wrapNone/>
            <wp:docPr id="721" name="Imagem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Black White Grayscale Portfolio Presentation (1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0" cy="601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pt-BR"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292C32" wp14:editId="53917E7D">
                <wp:simplePos x="0" y="0"/>
                <wp:positionH relativeFrom="column">
                  <wp:posOffset>0</wp:posOffset>
                </wp:positionH>
                <wp:positionV relativeFrom="paragraph">
                  <wp:posOffset>-768350</wp:posOffset>
                </wp:positionV>
                <wp:extent cx="10858500" cy="15382875"/>
                <wp:effectExtent l="0" t="0" r="19050" b="28575"/>
                <wp:wrapNone/>
                <wp:docPr id="720" name="Retângulo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0" cy="15382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813A8" id="Retângulo 720" o:spid="_x0000_s1026" style="position:absolute;margin-left:0;margin-top:-60.5pt;width:855pt;height:12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71SjQIAAGgFAAAOAAAAZHJzL2Uyb0RvYy54bWysVM1u2zAMvg/YOwi6r46zZs2COkXQosOA&#10;og3aDj2rshQbk0WNUuJkj7NX2YuNkh0n67rLsItNieTHH33k+cW2MWyj0NdgC56fjDhTVkJZ21XB&#10;vzxev5ty5oOwpTBgVcF3yvOL+ds3562bqTFUYEqFjECsn7Wu4FUIbpZlXlaqEf4EnLKk1ICNCHTE&#10;VVaiaAm9Mdl4NPqQtYClQ5DKe7q96pR8nvC1VjLcae1VYKbglFtIX0zf5/jN5uditkLhqlr2aYh/&#10;yKIRtaWgA9SVCIKtsf4DqqklggcdTiQ0GWhdS5VqoGry0YtqHirhVKqFmuPd0Cb//2Dl7WaJrC4L&#10;fjam/ljR0CPdq/Dzh12tDbB4Sz1qnZ+R6YNbYn/yJMaCtxqb+KdS2Db1dTf0VW0Dk3SZj6aT6WRE&#10;+JKU+eT9dDw9m0Tc7ADg0IdPChoWhYIjPV3qqNjc+NCZ7k1iPA+mLq9rY9Ih0kVdGmQbQQ8dtnkP&#10;fmSVxRq6rJMUdkZFX2PvlaYOUJ7jFDBx7wBWfs2760qUqsOnUqiYLqfBOhWTwCKqpswG3B7g9yQj&#10;bgfR20Y3lSg7OI7+llDnOFiniGDD4NjUFvA1ZxOGqJ09pX3Ujig+Q7kjTiB0w+KdvK7pSW6ED0uB&#10;NB30jjTx4Y4+2kBbcOglzirA76/dR3siLWk5a2naCu6/rQUqzsxnS3T+mJ+exvFMh9NJ4iIea56P&#10;NXbdXAK9c067xckkkjMGsxc1QvNEi2ERo5JKWEmxCy4D7g+XodsCtFqkWiySGY2kE+HGPjgZwWNX&#10;I+Uet08CXc/LQKS+hf1kitkLena20dPCYh1A14m7h772/aZxToTpV0/cF8fnZHVYkPNfAAAA//8D&#10;AFBLAwQUAAYACAAAACEARJ61qt4AAAALAQAADwAAAGRycy9kb3ducmV2LnhtbEyPwWrDMBBE74X+&#10;g9hAb4kklybFtRzSgI+hNC0+y5ZimVgrYymJ+/fdnNrbLDPMvim2sx/Y1U6xD6hArgQwi20wPXYK&#10;vr+q5SuwmDQaPQS0Cn5shG35+FDo3IQbftrrMXWMSjDmWoFLacw5j62zXsdVGC2SdwqT14nOqeNm&#10;0jcq9wPPhFhzr3ukD06Pdu9sez5evIKxPjhR6937uZL7Zn2oPrDecKWeFvPuDViyc/oLwx2f0KEk&#10;piZc0EQ2KKAhScFSZpLU3d9IQapRkD0L+QK8LPj/DeUvAAAA//8DAFBLAQItABQABgAIAAAAIQC2&#10;gziS/gAAAOEBAAATAAAAAAAAAAAAAAAAAAAAAABbQ29udGVudF9UeXBlc10ueG1sUEsBAi0AFAAG&#10;AAgAAAAhADj9If/WAAAAlAEAAAsAAAAAAAAAAAAAAAAALwEAAF9yZWxzLy5yZWxzUEsBAi0AFAAG&#10;AAgAAAAhAFELvVKNAgAAaAUAAA4AAAAAAAAAAAAAAAAALgIAAGRycy9lMm9Eb2MueG1sUEsBAi0A&#10;FAAGAAgAAAAhAESetareAAAACwEAAA8AAAAAAAAAAAAAAAAA5wQAAGRycy9kb3ducmV2LnhtbFBL&#10;BQYAAAAABAAEAPMAAADyBQAAAAA=&#10;" fillcolor="black [3213]" strokecolor="black [1600]" strokeweight="1pt"/>
            </w:pict>
          </mc:Fallback>
        </mc:AlternateContent>
      </w:r>
    </w:p>
    <w:p w:rsidR="002549B6" w:rsidRDefault="002549B6" w:rsidP="002549B6">
      <w:pPr>
        <w:pStyle w:val="Corpodetexto"/>
        <w:rPr>
          <w:rFonts w:ascii="Times New Roman"/>
          <w:sz w:val="20"/>
        </w:rPr>
      </w:pPr>
    </w:p>
    <w:p w:rsidR="002549B6" w:rsidRDefault="002549B6" w:rsidP="002549B6">
      <w:pPr>
        <w:rPr>
          <w:rFonts w:ascii="Times New Roman"/>
          <w:sz w:val="20"/>
        </w:rPr>
        <w:sectPr w:rsidR="002549B6">
          <w:pgSz w:w="16850" w:h="11920" w:orient="landscape"/>
          <w:pgMar w:top="1120" w:right="0" w:bottom="280" w:left="0" w:header="795" w:footer="0" w:gutter="0"/>
          <w:cols w:space="720"/>
        </w:sectPr>
      </w:pPr>
    </w:p>
    <w:p w:rsidR="002549B6" w:rsidRDefault="00AD7E94" w:rsidP="002549B6">
      <w:pPr>
        <w:pStyle w:val="Corpodetexto"/>
        <w:spacing w:before="6" w:after="1"/>
        <w:rPr>
          <w:rFonts w:ascii="Times New Roman"/>
          <w:sz w:val="9"/>
        </w:rPr>
      </w:pPr>
      <w:r>
        <w:rPr>
          <w:rFonts w:ascii="Times New Roman"/>
          <w:noProof/>
          <w:sz w:val="10"/>
          <w:lang w:val="pt-BR"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CFFF84" wp14:editId="008A1A76">
                <wp:simplePos x="0" y="0"/>
                <wp:positionH relativeFrom="column">
                  <wp:posOffset>0</wp:posOffset>
                </wp:positionH>
                <wp:positionV relativeFrom="paragraph">
                  <wp:posOffset>-815974</wp:posOffset>
                </wp:positionV>
                <wp:extent cx="10858500" cy="16268700"/>
                <wp:effectExtent l="0" t="0" r="19050" b="19050"/>
                <wp:wrapNone/>
                <wp:docPr id="722" name="Retângulo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0" cy="162687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A0173" id="Retângulo 722" o:spid="_x0000_s1026" style="position:absolute;margin-left:0;margin-top:-64.25pt;width:855pt;height:128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8ICigIAAGgFAAAOAAAAZHJzL2Uyb0RvYy54bWysVM1u2zAMvg/YOwi6r/5Bf7KgThGk6DCg&#10;aIu2Q8+KLMXGJFGTlDjZ4+xV9mKjZMfJuu4y7GKTIvnxn5dXW63IRjjfgqlocZJTIgyHujWrin55&#10;vvkwocQHZmqmwIiK7oSnV7P37y47OxUlNKBq4QiCGD/tbEWbEOw0yzxvhGb+BKwwKJTgNAvIulVW&#10;O9YhulZZmefnWQeutg648B5fr3shnSV8KQUP91J6EYiqKMYW0tel7zJ+s9klm64cs03LhzDYP0Sh&#10;WWvQ6Qh1zQIja9f+AaVb7sCDDCccdAZStlykHDCbIn+VzVPDrEi5YHG8Hcvk/x8sv9s8ONLWFb0o&#10;S0oM09ikRxF+/jCrtQISX7FGnfVTVH2yD27gPJIx4a10Ov4xFbJNdd2NdRXbQDg+FvnkbHKWY/05&#10;Covz8nxygRwiZQcA63z4JECTSFTUYetSRdnm1odeda8S/XlQbX3TKpWYOC5ioRzZMGx02BYD+JFW&#10;FnPoo05U2CkRbZV5FBIrgHGWyWGavQNY/bXonxtWix4fUxnDH7VTMgksokqMbMQdAH4PMuL2aQ26&#10;0UykkR0N878F1BuO2skjmDAa6taAe8tYhdFrr49hH5UjkkuodzgTDvpl8ZbftNiSW+bDA3O4HdhH&#10;3Phwjx+poKsoDBQlDbjvb71HfRxalFLS4bZV1H9bMycoUZ8NjvPH4vQ0rmdiTs8uSmTcsWR5LDFr&#10;vQDsc4G3xfJERv2g9qR0oF/wMMyjVxQxw9F3RXlwe2YR+iuAp4WL+Typ4UpaFm7Nk+URPFY1jtzz&#10;9oU5O8xlwKG+g/1msumr8ex1o6WB+TqAbNPsHuo61BvXOQ3McHrivTjmk9bhQM5+AQAA//8DAFBL&#10;AwQUAAYACAAAACEAn2RXBN8AAAALAQAADwAAAGRycy9kb3ducmV2LnhtbEyPzW7CMBCE75X6DtZW&#10;6g3shPKjkA2iSDmiqrTK2YlNHBGvo9hA+vY1p/Y4O6uZb/LdZHt206PvHCEkcwFMU+NURy3C91c5&#10;2wDzQZKSvSON8KM97Irnp1xmyt3pU99OoWUxhHwmEUwIQ8a5b4y20s/doCl6ZzdaGaIcW65GeY/h&#10;tuepECtuZUexwchBH4xuLqerRRiqoxGV3L9fyuRQr47lB1Vrjvj6Mu23wIKewt8zPPAjOhSRqXZX&#10;Up71CHFIQJgl6WYJ7OGvExFvNUL6tlgsgRc5/7+h+AUAAP//AwBQSwECLQAUAAYACAAAACEAtoM4&#10;kv4AAADhAQAAEwAAAAAAAAAAAAAAAAAAAAAAW0NvbnRlbnRfVHlwZXNdLnhtbFBLAQItABQABgAI&#10;AAAAIQA4/SH/1gAAAJQBAAALAAAAAAAAAAAAAAAAAC8BAABfcmVscy8ucmVsc1BLAQItABQABgAI&#10;AAAAIQC+c8ICigIAAGgFAAAOAAAAAAAAAAAAAAAAAC4CAABkcnMvZTJvRG9jLnhtbFBLAQItABQA&#10;BgAIAAAAIQCfZFcE3wAAAAsBAAAPAAAAAAAAAAAAAAAAAOQEAABkcnMvZG93bnJldi54bWxQSwUG&#10;AAAAAAQABADzAAAA8AUAAAAA&#10;" fillcolor="black [3213]" strokecolor="black [1600]" strokeweight="1pt"/>
            </w:pict>
          </mc:Fallback>
        </mc:AlternateContent>
      </w:r>
    </w:p>
    <w:p w:rsidR="002549B6" w:rsidRDefault="002549B6" w:rsidP="002549B6">
      <w:pPr>
        <w:pStyle w:val="Corpodetexto"/>
        <w:rPr>
          <w:rFonts w:ascii="Times New Roman"/>
          <w:sz w:val="20"/>
        </w:rPr>
      </w:pPr>
    </w:p>
    <w:p w:rsidR="002549B6" w:rsidRDefault="00AD7E94" w:rsidP="002549B6">
      <w:pPr>
        <w:rPr>
          <w:rFonts w:ascii="Times New Roman"/>
          <w:sz w:val="20"/>
        </w:rPr>
        <w:sectPr w:rsidR="002549B6">
          <w:pgSz w:w="16850" w:h="11920" w:orient="landscape"/>
          <w:pgMar w:top="1120" w:right="0" w:bottom="280" w:left="0" w:header="795" w:footer="0" w:gutter="0"/>
          <w:cols w:space="720"/>
        </w:sect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10699750" cy="6018530"/>
            <wp:effectExtent l="0" t="0" r="6350" b="1270"/>
            <wp:wrapNone/>
            <wp:docPr id="723" name="Imagem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" name="Black White Grayscale Portfolio Presentation (2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0" cy="601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3BB2" w:rsidRDefault="00F05C2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  <w:r>
        <w:rPr>
          <w:rFonts w:ascii="Times New Roman"/>
          <w:noProof/>
          <w:sz w:val="10"/>
          <w:lang w:val="pt-BR" w:eastAsia="pt-BR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-287655</wp:posOffset>
            </wp:positionV>
            <wp:extent cx="10696575" cy="6016655"/>
            <wp:effectExtent l="0" t="0" r="0" b="3175"/>
            <wp:wrapNone/>
            <wp:docPr id="728" name="Imagem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" name="Black White Grayscale Portfolio Presentation (5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601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1A7">
        <w:rPr>
          <w:rFonts w:ascii="Times New Roman"/>
          <w:noProof/>
          <w:sz w:val="10"/>
          <w:lang w:val="pt-BR"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0CBCCA" wp14:editId="56B3843F">
                <wp:simplePos x="0" y="0"/>
                <wp:positionH relativeFrom="column">
                  <wp:posOffset>-161925</wp:posOffset>
                </wp:positionH>
                <wp:positionV relativeFrom="paragraph">
                  <wp:posOffset>-821690</wp:posOffset>
                </wp:positionV>
                <wp:extent cx="10858500" cy="16268700"/>
                <wp:effectExtent l="0" t="0" r="19050" b="19050"/>
                <wp:wrapNone/>
                <wp:docPr id="724" name="Retângulo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0" cy="162687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0EC59" id="Retângulo 724" o:spid="_x0000_s1026" style="position:absolute;margin-left:-12.75pt;margin-top:-64.7pt;width:855pt;height:12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qigIAAGgFAAAOAAAAZHJzL2Uyb0RvYy54bWysVM1u2zAMvg/YOwi6r7aDpM2COkWQosOA&#10;oi2aDj2rshQLk0VNUuJkj7NX2YuNkh0n67rLsItNiuTHf15e7RpNtsJ5BaakxVlOiTAcKmXWJf3y&#10;dPNhSokPzFRMgxEl3QtPr+bv3122diZGUIOuhCMIYvystSWtQ7CzLPO8Fg3zZ2CFQaEE17CArFtn&#10;lWMtojc6G+X5edaCq6wDLrzH1+tOSOcJX0rBw72UXgSiS4qxhfR16fsSv9n8ks3Wjtla8T4M9g9R&#10;NEwZdDpAXbPAyMapP6AaxR14kOGMQ5OBlIqLlANmU+SvslnVzIqUCxbH26FM/v/B8rvtgyOqKunF&#10;aEyJYQ026VGEnz/MeqOBxFesUWv9DFVX9sH1nEcyJryTrol/TIXsUl33Q13FLhCOj0U+nUwnOdaf&#10;o7A4H51PL5BDpOwIYJ0PnwQ0JBIlddi6VFG2vfWhUz2oRH8etKpulNaJieMiltqRLcNGh13Rg59o&#10;ZTGHLupEhb0W0VabRyGxAhjnKDlMs3cEq74W3XPNKtHhYypD+IN2SiaBRVSJkQ24PcDvQUbcLq1e&#10;N5qJNLKDYf63gDrDQTt5BBMGw0YZcG8Z6zB47fQx7JNyRPIFqj3OhINuWbzlNwpbcst8eGAOtwP7&#10;iBsf7vEjNbQlhZ6ipAb3/a33qI9Di1JKWty2kvpvG+YEJfqzwXH+WIzHcT0TM55cjJBxp5KXU4nZ&#10;NEvAPhd4WyxPZNQP+kBKB80zHoZF9IoiZjj6LikP7sAsQ3cF8LRwsVgkNVxJy8KtWVkewWNV48g9&#10;7Z6Zs/1cBhzqOzhsJpu9Gs9ON1oaWGwCSJVm91jXvt64zmlg+tMT78Upn7SOB3L+CwAA//8DAFBL&#10;AwQUAAYACAAAACEAUbuxGuEAAAAOAQAADwAAAGRycy9kb3ducmV2LnhtbEyPy26DMBBF95X6D9ZU&#10;6i4xuIQkFBOlkVhGVdOK9YBdQMFjhJ2E/n2dVbubx9GdM/luNgO76sn1liTEywiYpsaqnloJX5/l&#10;YgPMeSSFgyUt4Uc72BWPDzlmyt7oQ19PvmUhhFyGEjrvx4xz13TaoFvaUVPYfdvJoA/t1HI14S2E&#10;m4GLKEq5wZ7ChQ5Hfeh0cz5djISxOnZRhfu3cxkf6vRYvlO15lI+P837V2Bez/4Phrt+UIciONX2&#10;QsqxQcJCrFYBDUUstgmwO5JukjCrJYjkRaTAi5z/f6P4BQAA//8DAFBLAQItABQABgAIAAAAIQC2&#10;gziS/gAAAOEBAAATAAAAAAAAAAAAAAAAAAAAAABbQ29udGVudF9UeXBlc10ueG1sUEsBAi0AFAAG&#10;AAgAAAAhADj9If/WAAAAlAEAAAsAAAAAAAAAAAAAAAAALwEAAF9yZWxzLy5yZWxzUEsBAi0AFAAG&#10;AAgAAAAhAKPIVuqKAgAAaAUAAA4AAAAAAAAAAAAAAAAALgIAAGRycy9lMm9Eb2MueG1sUEsBAi0A&#10;FAAGAAgAAAAhAFG7sRrhAAAADgEAAA8AAAAAAAAAAAAAAAAA5AQAAGRycy9kb3ducmV2LnhtbFBL&#10;BQYAAAAABAAEAPMAAADyBQAAAAA=&#10;" fillcolor="black [3213]" strokecolor="black [1600]" strokeweight="1pt"/>
            </w:pict>
          </mc:Fallback>
        </mc:AlternateContent>
      </w: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A111A7" w:rsidRDefault="00A111A7" w:rsidP="00723BB2">
      <w:pPr>
        <w:pStyle w:val="Corpodetexto"/>
        <w:ind w:right="2108"/>
        <w:jc w:val="center"/>
        <w:rPr>
          <w:b/>
          <w:noProof/>
          <w:sz w:val="40"/>
          <w:lang w:val="pt-BR" w:eastAsia="pt-BR"/>
        </w:rPr>
      </w:pPr>
    </w:p>
    <w:p w:rsidR="00D622F7" w:rsidRDefault="00D622F7" w:rsidP="002D744C">
      <w:pPr>
        <w:pStyle w:val="Corpodetexto"/>
        <w:ind w:right="2108"/>
        <w:rPr>
          <w:b/>
          <w:sz w:val="40"/>
        </w:rPr>
      </w:pPr>
    </w:p>
    <w:p w:rsidR="00C436FE" w:rsidRPr="00C436FE" w:rsidRDefault="00C436FE" w:rsidP="008B6AA3">
      <w:pPr>
        <w:pStyle w:val="Corpodetexto"/>
        <w:ind w:left="2268" w:right="2108"/>
        <w:jc w:val="center"/>
        <w:rPr>
          <w:b/>
          <w:sz w:val="4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0D7BFA" wp14:editId="2559EEE1">
                <wp:simplePos x="0" y="0"/>
                <wp:positionH relativeFrom="page">
                  <wp:posOffset>0</wp:posOffset>
                </wp:positionH>
                <wp:positionV relativeFrom="paragraph">
                  <wp:posOffset>18415</wp:posOffset>
                </wp:positionV>
                <wp:extent cx="10687050" cy="6985"/>
                <wp:effectExtent l="0" t="19050" r="19050" b="31115"/>
                <wp:wrapNone/>
                <wp:docPr id="711" name="Lin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87050" cy="698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538DD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12A7D" id="Line 66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1.45pt" to="841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bpPKgIAAEoEAAAOAAAAZHJzL2Uyb0RvYy54bWysVMuu2jAQ3VfqP1jeQxIeuSEiXFUEuqG9&#10;SPf2A4ztEKuObdmGgKr+e8fm0dJuqqobM86cOXPmYebPp06iI7dOaFXhbJhixBXVTKh9hb+8rQcF&#10;Rs4TxYjUilf4zB1+Xrx/N+9NyUe61ZJxi4BEubI3FW69N2WSONryjrihNlyBs9G2Ix6udp8wS3pg&#10;72QyStM86bVlxmrKnYOv9cWJF5G/aTj1L03juEeywqDNx9PGcxfOZDEn5d4S0wp6lUH+QUVHhIKk&#10;d6qaeIIOVvxB1QlqtdONH1LdJbppBOWxBqgmS3+r5rUlhsdaoDnO3Nvk/h8t/XzcWiRYhZ+yDCNF&#10;OhjSRiiO8nwUutMbVwJoqbY21EdP6tVsNP3qkNLLlqg9jyrfzgYCsxCRPISEizOQY9d/0gww5OB1&#10;bNWpsV2ghCagU5zI+T4RfvKIwscszYundAqTo+DMZ8U0ZiDlLdhY5z9y3aFgVFiC8khOjhvngxhS&#10;3iAhl9JrIWUculSor/C4yNI0RjgtBQvegHN2v1tKi44E9mY6Lup6fE38AAvUNXHtBRddAUZKqw+K&#10;RavlhK2utidCXmyQJVUAQqEg9GpdNubbLJ2tilUxGUxG+WowSet68GG9nAzydfY0rcf1clln34Pm&#10;bFK2gjGuguzb9maTv9uO6zu67N19f+8NSh7ZYydB7O03io6TDsO9rMlOs/PWhqaHocPCRvD1cYUX&#10;8es9on7+BSx+AAAA//8DAFBLAwQUAAYACAAAACEA1PHHg9wAAAAFAQAADwAAAGRycy9kb3ducmV2&#10;LnhtbEyPwU7DMBBE70j8g7VI3KjTUEUhzaaCSAgOXNpyoDc3XuKIeB1it03/HvdUjjszmnlbribb&#10;iyONvnOMMJ8lIIgbpztuET63rw85CB8Ua9U7JoQzeVhVtzelKrQ78ZqOm9CKWMK+UAgmhKGQ0jeG&#10;rPIzNxBH79uNVoV4jq3UozrFctvLNEkyaVXHccGogWpDzc/mYBHevuZ+8XuutyYb3ncv6/ojzWSO&#10;eH83PS9BBJrCNQwX/IgOVWTauwNrL3qE+EhASJ9AXMwsf4zCHmGRgKxK+Z+++gMAAP//AwBQSwEC&#10;LQAUAAYACAAAACEAtoM4kv4AAADhAQAAEwAAAAAAAAAAAAAAAAAAAAAAW0NvbnRlbnRfVHlwZXNd&#10;LnhtbFBLAQItABQABgAIAAAAIQA4/SH/1gAAAJQBAAALAAAAAAAAAAAAAAAAAC8BAABfcmVscy8u&#10;cmVsc1BLAQItABQABgAIAAAAIQAysbpPKgIAAEoEAAAOAAAAAAAAAAAAAAAAAC4CAABkcnMvZTJv&#10;RG9jLnhtbFBLAQItABQABgAIAAAAIQDU8ceD3AAAAAUBAAAPAAAAAAAAAAAAAAAAAIQEAABkcnMv&#10;ZG93bnJldi54bWxQSwUGAAAAAAQABADzAAAAjQUAAAAA&#10;" strokecolor="#538dd3" strokeweight="3pt">
                <w10:wrap anchorx="page"/>
              </v:line>
            </w:pict>
          </mc:Fallback>
        </mc:AlternateContent>
      </w:r>
      <w:r>
        <w:rPr>
          <w:b/>
          <w:sz w:val="40"/>
        </w:rPr>
        <w:t>EQUIPE</w:t>
      </w:r>
    </w:p>
    <w:p w:rsidR="008B6AA3" w:rsidRPr="008B6AA3" w:rsidRDefault="00C436FE" w:rsidP="008B6AA3">
      <w:pPr>
        <w:pStyle w:val="Corpodetexto"/>
        <w:spacing w:before="2"/>
        <w:ind w:left="2268" w:right="2108"/>
        <w:jc w:val="center"/>
        <w:rPr>
          <w:rFonts w:ascii="Cambria"/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0D7BFA" wp14:editId="2559EEE1">
                <wp:simplePos x="0" y="0"/>
                <wp:positionH relativeFrom="page">
                  <wp:posOffset>0</wp:posOffset>
                </wp:positionH>
                <wp:positionV relativeFrom="paragraph">
                  <wp:posOffset>102870</wp:posOffset>
                </wp:positionV>
                <wp:extent cx="10687050" cy="6985"/>
                <wp:effectExtent l="0" t="19050" r="19050" b="31115"/>
                <wp:wrapNone/>
                <wp:docPr id="40" name="Lin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87050" cy="698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538DD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46352" id="Line 66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8.1pt" to="841.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rDcKQIAAEkEAAAOAAAAZHJzL2Uyb0RvYy54bWysVE2P2jAQvVfqf7ByhyQQsiEirCoCvdAu&#10;0m5/gLEdYtWxLdsQUNX/3rEDtLSXqurFjDNv3rz5MIvncyfQiRnLlayidJxEiEmiKJeHKvrythkV&#10;EbIOS4qFkqyKLsxGz8v37xa9LtlEtUpQZhCQSFv2uopa53QZx5a0rMN2rDST4GyU6bCDqznE1OAe&#10;2DsRT5Ikj3tlqDaKMGvhaz04o2XgbxpG3EvTWOaQqCLQ5sJpwrn3Z7xc4PJgsG45ucrA/6Ciw1xC&#10;0jtVjR1GR8P/oOo4Mcqqxo2J6mLVNJywUANUkya/VfPaYs1CLdAcq+9tsv+Plnw+7QzitIoyaI/E&#10;HcxoyyVDeT7xzem1LQGzkjvjyyNn+aq3iny1SKpVi+WBBZFvFw2BqY+IH0L8xWpIse8/KQoYfHQq&#10;dOrcmM5TQg/QOQzkch8IOztE4GOa5MVTMgNlBJz5vJiFDLi8BWtj3UemOuSNKhKgPJDj09Y6LwaX&#10;N4jPJdWGCxFmLiTqq2hapEkSIqwSnHqvx1lz2K+EQScMazObFnU9vSZ+gHnqGtt2wAWXh+HSqKOk&#10;wWoZpuur7TAXgw2yhPRAKBSEXq1hYb7Nk/m6WBfZKJvk61GW1PXow2aVjfJN+jSrp/VqVaffveY0&#10;K1tOKZNe9m150+zvluP6jIa1u6/vvUHxI3voJIi9/QbRYdJ+uMOa7BW97Ixvuh867GsAX9+WfxC/&#10;3gPq5z/A8gcAAAD//wMAUEsDBBQABgAIAAAAIQBCuEWr3QAAAAcBAAAPAAAAZHJzL2Rvd25yZXYu&#10;eG1sTI8xT8MwEIV3JP6DdUhs1GmKQpTGqSASgoGlLQNsbnyNI+JziN02/fdcJ7rdvXd6971yNble&#10;HHEMnScF81kCAqnxpqNWwef29SEHEaImo3tPqOCMAVbV7U2pC+NPtMbjJraCQygUWoGNcSikDI1F&#10;p8PMD0js7f3odOR1bKUZ9YnDXS/TJMmk0x3xB6sHrC02P5uDU/D2NQ+Pv+d6a7Ph/ftlXX+kmcyV&#10;ur+bnpcgIk7x/xgu+IwOFTPt/IFMEL0CLhJZzVIQFzfLF6zseHpagKxKec1f/QEAAP//AwBQSwEC&#10;LQAUAAYACAAAACEAtoM4kv4AAADhAQAAEwAAAAAAAAAAAAAAAAAAAAAAW0NvbnRlbnRfVHlwZXNd&#10;LnhtbFBLAQItABQABgAIAAAAIQA4/SH/1gAAAJQBAAALAAAAAAAAAAAAAAAAAC8BAABfcmVscy8u&#10;cmVsc1BLAQItABQABgAIAAAAIQDFRrDcKQIAAEkEAAAOAAAAAAAAAAAAAAAAAC4CAABkcnMvZTJv&#10;RG9jLnhtbFBLAQItABQABgAIAAAAIQBCuEWr3QAAAAcBAAAPAAAAAAAAAAAAAAAAAIMEAABkcnMv&#10;ZG93bnJldi54bWxQSwUGAAAAAAQABADzAAAAjQUAAAAA&#10;" strokecolor="#538dd3" strokeweight="3pt">
                <w10:wrap anchorx="page"/>
              </v:line>
            </w:pict>
          </mc:Fallback>
        </mc:AlternateContent>
      </w:r>
    </w:p>
    <w:p w:rsidR="008B6AA3" w:rsidRDefault="008B6AA3" w:rsidP="008B6AA3">
      <w:pPr>
        <w:spacing w:before="20"/>
        <w:ind w:left="2268" w:right="2108"/>
        <w:rPr>
          <w:b/>
          <w:sz w:val="40"/>
        </w:rPr>
      </w:pPr>
    </w:p>
    <w:p w:rsidR="00C436FE" w:rsidRDefault="00C436FE" w:rsidP="008B6AA3">
      <w:pPr>
        <w:spacing w:before="20"/>
        <w:ind w:left="2268" w:right="2108"/>
        <w:jc w:val="center"/>
        <w:rPr>
          <w:b/>
          <w:sz w:val="40"/>
        </w:rPr>
      </w:pPr>
      <w:r>
        <w:rPr>
          <w:b/>
          <w:sz w:val="40"/>
        </w:rPr>
        <w:t>Servidores</w:t>
      </w:r>
    </w:p>
    <w:p w:rsidR="00C436FE" w:rsidRDefault="00C436FE" w:rsidP="008B6AA3">
      <w:pPr>
        <w:pStyle w:val="Corpodetexto"/>
        <w:spacing w:before="5"/>
        <w:ind w:left="2268" w:right="2108"/>
        <w:jc w:val="center"/>
        <w:rPr>
          <w:sz w:val="40"/>
        </w:rPr>
      </w:pPr>
    </w:p>
    <w:p w:rsidR="00C436FE" w:rsidRPr="008B6AA3" w:rsidRDefault="00C436FE" w:rsidP="008B6AA3">
      <w:pPr>
        <w:pStyle w:val="Corpodetexto"/>
        <w:ind w:left="2268" w:right="2108"/>
        <w:jc w:val="center"/>
      </w:pPr>
      <w:r w:rsidRPr="008B6AA3">
        <w:t>Áurea Lúcia dos Santos</w:t>
      </w:r>
    </w:p>
    <w:p w:rsidR="00C436FE" w:rsidRPr="008B6AA3" w:rsidRDefault="00C436FE" w:rsidP="008B6AA3">
      <w:pPr>
        <w:pStyle w:val="Corpodetexto"/>
        <w:ind w:left="2268" w:right="2108"/>
        <w:jc w:val="center"/>
      </w:pPr>
      <w:r w:rsidRPr="008B6AA3">
        <w:t>Flávia Maria de Castro Barbosa</w:t>
      </w:r>
    </w:p>
    <w:p w:rsidR="00C436FE" w:rsidRPr="008B6AA3" w:rsidRDefault="00C436FE" w:rsidP="008B6AA3">
      <w:pPr>
        <w:pStyle w:val="Corpodetexto"/>
        <w:ind w:left="2268" w:right="2108"/>
        <w:jc w:val="center"/>
      </w:pPr>
      <w:r w:rsidRPr="008B6AA3">
        <w:t>Flávia Vasconcelos G. de Lima Barbosa</w:t>
      </w:r>
    </w:p>
    <w:p w:rsidR="00C436FE" w:rsidRPr="008B6AA3" w:rsidRDefault="00C436FE" w:rsidP="008B6AA3">
      <w:pPr>
        <w:pStyle w:val="Corpodetexto"/>
        <w:ind w:left="2268" w:right="2108"/>
        <w:jc w:val="center"/>
      </w:pPr>
      <w:r w:rsidRPr="008B6AA3">
        <w:t>Flávio</w:t>
      </w:r>
      <w:r w:rsidRPr="008B6AA3">
        <w:rPr>
          <w:spacing w:val="-15"/>
        </w:rPr>
        <w:t xml:space="preserve"> </w:t>
      </w:r>
      <w:r w:rsidRPr="008B6AA3">
        <w:t>André</w:t>
      </w:r>
      <w:r w:rsidRPr="008B6AA3">
        <w:rPr>
          <w:spacing w:val="-14"/>
        </w:rPr>
        <w:t xml:space="preserve"> </w:t>
      </w:r>
      <w:r w:rsidRPr="008B6AA3">
        <w:t>Japiassu</w:t>
      </w:r>
      <w:r w:rsidRPr="008B6AA3">
        <w:rPr>
          <w:spacing w:val="-12"/>
        </w:rPr>
        <w:t xml:space="preserve"> </w:t>
      </w:r>
      <w:r w:rsidRPr="008B6AA3">
        <w:t>Resende</w:t>
      </w:r>
      <w:r w:rsidRPr="008B6AA3">
        <w:rPr>
          <w:spacing w:val="-15"/>
        </w:rPr>
        <w:t xml:space="preserve"> </w:t>
      </w:r>
      <w:r w:rsidRPr="008B6AA3">
        <w:t>Montes</w:t>
      </w:r>
    </w:p>
    <w:p w:rsidR="00C436FE" w:rsidRDefault="00C436FE" w:rsidP="008B6AA3">
      <w:pPr>
        <w:pStyle w:val="Corpodetexto"/>
        <w:ind w:left="2268" w:right="2108"/>
        <w:jc w:val="center"/>
      </w:pPr>
      <w:r w:rsidRPr="008B6AA3">
        <w:t>Letícia Micaely de Melo Rocha</w:t>
      </w:r>
    </w:p>
    <w:p w:rsidR="008B6AA3" w:rsidRDefault="008B6AA3" w:rsidP="008B6AA3">
      <w:pPr>
        <w:pStyle w:val="Corpodetexto"/>
        <w:ind w:left="2268" w:right="2108"/>
        <w:jc w:val="center"/>
      </w:pPr>
    </w:p>
    <w:p w:rsidR="008B6AA3" w:rsidRDefault="008B6AA3" w:rsidP="008B6AA3">
      <w:pPr>
        <w:pStyle w:val="Ttulo1"/>
        <w:tabs>
          <w:tab w:val="left" w:pos="7863"/>
        </w:tabs>
        <w:ind w:left="2268" w:right="2108" w:firstLine="0"/>
        <w:jc w:val="center"/>
      </w:pPr>
      <w:bookmarkStart w:id="0" w:name="_Toc220588011"/>
      <w:bookmarkStart w:id="1" w:name="_Toc220588593"/>
      <w:r>
        <w:t>Colaboradoras</w:t>
      </w:r>
      <w:r>
        <w:rPr>
          <w:spacing w:val="-19"/>
        </w:rPr>
        <w:t xml:space="preserve"> </w:t>
      </w:r>
      <w:r>
        <w:t>Administrativas</w:t>
      </w:r>
      <w:bookmarkEnd w:id="0"/>
      <w:bookmarkEnd w:id="1"/>
    </w:p>
    <w:p w:rsidR="008B6AA3" w:rsidRDefault="008B6AA3" w:rsidP="008B6AA3">
      <w:pPr>
        <w:pStyle w:val="Ttulo1"/>
        <w:tabs>
          <w:tab w:val="left" w:pos="7863"/>
        </w:tabs>
        <w:ind w:left="2268" w:right="2108" w:firstLine="0"/>
        <w:jc w:val="center"/>
      </w:pPr>
    </w:p>
    <w:p w:rsidR="008B6AA3" w:rsidRDefault="008B6AA3" w:rsidP="008B6AA3">
      <w:pPr>
        <w:pStyle w:val="Corpodetexto"/>
        <w:ind w:left="2268" w:right="2108"/>
        <w:jc w:val="center"/>
      </w:pPr>
      <w:r>
        <w:t>Cristine Araújo Comber</w:t>
      </w:r>
    </w:p>
    <w:p w:rsidR="008B6AA3" w:rsidRDefault="008B6AA3" w:rsidP="008B6AA3">
      <w:pPr>
        <w:pStyle w:val="Corpodetexto"/>
        <w:ind w:left="2268" w:right="2108"/>
        <w:jc w:val="center"/>
      </w:pPr>
      <w:r>
        <w:t>Rosane Balbina Machado dos Santos</w:t>
      </w:r>
    </w:p>
    <w:p w:rsidR="008B6AA3" w:rsidRDefault="008B6AA3" w:rsidP="008B6AA3">
      <w:pPr>
        <w:pStyle w:val="Corpodetexto"/>
        <w:ind w:left="2268" w:right="2108"/>
        <w:jc w:val="center"/>
      </w:pPr>
      <w:r>
        <w:rPr>
          <w:spacing w:val="-1"/>
        </w:rPr>
        <w:t>Thays Larissa da Silva</w:t>
      </w:r>
    </w:p>
    <w:p w:rsidR="008B6AA3" w:rsidRDefault="008B6AA3" w:rsidP="008B6AA3">
      <w:pPr>
        <w:spacing w:line="360" w:lineRule="auto"/>
        <w:ind w:left="2268" w:right="2108" w:firstLine="9"/>
        <w:jc w:val="center"/>
        <w:rPr>
          <w:sz w:val="28"/>
        </w:rPr>
      </w:pPr>
    </w:p>
    <w:p w:rsidR="008B6AA3" w:rsidRDefault="008B6AA3" w:rsidP="008B6AA3">
      <w:pPr>
        <w:spacing w:line="360" w:lineRule="auto"/>
        <w:ind w:left="2268" w:right="2108" w:firstLine="9"/>
        <w:jc w:val="center"/>
        <w:rPr>
          <w:b/>
          <w:sz w:val="32"/>
        </w:rPr>
      </w:pPr>
      <w:r w:rsidRPr="008B6AA3">
        <w:rPr>
          <w:b/>
          <w:sz w:val="32"/>
        </w:rPr>
        <w:t>Colaboradoras</w:t>
      </w:r>
      <w:r w:rsidRPr="008B6AA3">
        <w:rPr>
          <w:b/>
          <w:spacing w:val="-19"/>
          <w:sz w:val="32"/>
        </w:rPr>
        <w:t xml:space="preserve"> </w:t>
      </w:r>
      <w:r>
        <w:rPr>
          <w:b/>
          <w:sz w:val="32"/>
        </w:rPr>
        <w:t>Telefonistas</w:t>
      </w:r>
    </w:p>
    <w:p w:rsidR="008B6AA3" w:rsidRDefault="008B6AA3" w:rsidP="008B6AA3">
      <w:pPr>
        <w:pStyle w:val="Corpodetexto"/>
        <w:ind w:left="2268" w:right="2108"/>
        <w:jc w:val="center"/>
      </w:pPr>
      <w:r>
        <w:t>Lorena</w:t>
      </w:r>
      <w:r>
        <w:rPr>
          <w:spacing w:val="-16"/>
        </w:rPr>
        <w:t xml:space="preserve"> </w:t>
      </w:r>
      <w:r>
        <w:t>Antunes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Oliveira</w:t>
      </w:r>
    </w:p>
    <w:p w:rsidR="008B6AA3" w:rsidRDefault="008B6AA3" w:rsidP="008B6AA3">
      <w:pPr>
        <w:pStyle w:val="Corpodetexto"/>
        <w:ind w:left="2268" w:right="2108"/>
        <w:jc w:val="center"/>
      </w:pPr>
      <w:r>
        <w:t>Jéssica</w:t>
      </w:r>
      <w:r>
        <w:rPr>
          <w:spacing w:val="-1"/>
        </w:rPr>
        <w:t xml:space="preserve"> </w:t>
      </w:r>
      <w:r>
        <w:t>da Silva</w:t>
      </w:r>
      <w:r>
        <w:rPr>
          <w:spacing w:val="-2"/>
        </w:rPr>
        <w:t xml:space="preserve"> </w:t>
      </w:r>
      <w:r>
        <w:t>Santos</w:t>
      </w:r>
    </w:p>
    <w:p w:rsidR="00687857" w:rsidRDefault="00687857" w:rsidP="008B6AA3">
      <w:pPr>
        <w:pStyle w:val="Corpodetexto"/>
        <w:ind w:left="2268" w:right="2108"/>
        <w:jc w:val="center"/>
      </w:pPr>
    </w:p>
    <w:p w:rsidR="00687857" w:rsidRDefault="00687857" w:rsidP="008B6AA3">
      <w:pPr>
        <w:pStyle w:val="Corpodetexto"/>
        <w:ind w:left="2268" w:right="2108"/>
        <w:jc w:val="center"/>
      </w:pPr>
    </w:p>
    <w:p w:rsidR="00687857" w:rsidRDefault="00687857" w:rsidP="008B6AA3">
      <w:pPr>
        <w:pStyle w:val="Corpodetexto"/>
        <w:ind w:left="2268" w:right="2108"/>
        <w:jc w:val="center"/>
      </w:pPr>
      <w:bookmarkStart w:id="2" w:name="_GoBack"/>
      <w:bookmarkEnd w:id="2"/>
    </w:p>
    <w:p w:rsidR="00AB33DE" w:rsidRDefault="00AB33DE" w:rsidP="00D41686">
      <w:pPr>
        <w:widowControl/>
        <w:autoSpaceDE/>
        <w:autoSpaceDN/>
        <w:spacing w:after="160" w:line="259" w:lineRule="auto"/>
      </w:pPr>
    </w:p>
    <w:sdt>
      <w:sdtPr>
        <w:id w:val="16379912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53559" w:rsidRPr="00F60073" w:rsidRDefault="00653559" w:rsidP="00D41686">
          <w:pPr>
            <w:widowControl/>
            <w:autoSpaceDE/>
            <w:autoSpaceDN/>
            <w:spacing w:after="160" w:line="259" w:lineRule="auto"/>
            <w:jc w:val="center"/>
            <w:rPr>
              <w:rFonts w:asciiTheme="majorHAnsi" w:eastAsiaTheme="majorEastAsia" w:hAnsiTheme="majorHAnsi" w:cstheme="majorBidi"/>
              <w:b/>
              <w:sz w:val="44"/>
              <w:szCs w:val="32"/>
              <w:lang w:val="pt-BR" w:eastAsia="pt-BR"/>
            </w:rPr>
          </w:pPr>
          <w:r w:rsidRPr="00AB33DE">
            <w:rPr>
              <w:b/>
              <w:color w:val="ED7D31" w:themeColor="accent2"/>
              <w:sz w:val="32"/>
              <w:lang w:val="pt-BR"/>
            </w:rPr>
            <w:t>Sumário</w:t>
          </w:r>
          <w:r w:rsidRPr="00AB33DE">
            <w:rPr>
              <w:b/>
              <w:bCs/>
              <w:sz w:val="32"/>
            </w:rPr>
            <w:fldChar w:fldCharType="begin"/>
          </w:r>
          <w:r w:rsidRPr="00AB33DE">
            <w:rPr>
              <w:b/>
              <w:bCs/>
              <w:sz w:val="32"/>
            </w:rPr>
            <w:instrText xml:space="preserve"> TOC \o "1-3" \h \z \u </w:instrText>
          </w:r>
          <w:r w:rsidRPr="00AB33DE">
            <w:rPr>
              <w:b/>
              <w:bCs/>
              <w:sz w:val="32"/>
            </w:rPr>
            <w:fldChar w:fldCharType="separate"/>
          </w:r>
          <w:hyperlink w:anchor="_Toc220588593" w:history="1"/>
        </w:p>
        <w:p w:rsidR="00653559" w:rsidRPr="00F60073" w:rsidRDefault="00653559" w:rsidP="00D41686">
          <w:pPr>
            <w:pStyle w:val="Sumrio1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bCs w:val="0"/>
              <w:noProof/>
              <w:sz w:val="28"/>
              <w:szCs w:val="22"/>
              <w:lang w:val="pt-BR" w:eastAsia="pt-BR"/>
            </w:rPr>
          </w:pPr>
          <w:hyperlink w:anchor="_Toc220588594" w:history="1">
            <w:r w:rsidRPr="00F60073">
              <w:rPr>
                <w:rStyle w:val="Hyperlink"/>
                <w:noProof/>
                <w:sz w:val="24"/>
                <w:u w:color="C45711"/>
              </w:rPr>
              <w:t>INTRODUÇÃO</w:t>
            </w:r>
            <w:r w:rsidRPr="00F60073">
              <w:rPr>
                <w:noProof/>
                <w:webHidden/>
                <w:sz w:val="24"/>
              </w:rPr>
              <w:tab/>
            </w:r>
            <w:r w:rsidRPr="00F60073">
              <w:rPr>
                <w:noProof/>
                <w:webHidden/>
                <w:sz w:val="24"/>
              </w:rPr>
              <w:fldChar w:fldCharType="begin"/>
            </w:r>
            <w:r w:rsidRPr="00F60073">
              <w:rPr>
                <w:noProof/>
                <w:webHidden/>
                <w:sz w:val="24"/>
              </w:rPr>
              <w:instrText xml:space="preserve"> PAGEREF _Toc220588594 \h </w:instrText>
            </w:r>
            <w:r w:rsidRPr="00F60073">
              <w:rPr>
                <w:noProof/>
                <w:webHidden/>
                <w:sz w:val="24"/>
              </w:rPr>
            </w:r>
            <w:r w:rsidRPr="00F60073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8</w:t>
            </w:r>
            <w:r w:rsidRPr="00F60073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Default="00653559" w:rsidP="00D41686">
          <w:pPr>
            <w:pStyle w:val="Sumrio1"/>
            <w:tabs>
              <w:tab w:val="right" w:leader="dot" w:pos="16840"/>
            </w:tabs>
            <w:rPr>
              <w:rStyle w:val="Hyperlink"/>
              <w:noProof/>
              <w:sz w:val="24"/>
            </w:rPr>
          </w:pPr>
          <w:hyperlink w:anchor="_Toc220588595" w:history="1">
            <w:r w:rsidRPr="00F60073">
              <w:rPr>
                <w:rStyle w:val="Hyperlink"/>
                <w:noProof/>
                <w:sz w:val="24"/>
                <w:u w:color="C45711"/>
              </w:rPr>
              <w:t>APRESENTAÇÃO</w:t>
            </w:r>
            <w:r w:rsidRPr="00F60073">
              <w:rPr>
                <w:noProof/>
                <w:webHidden/>
                <w:sz w:val="24"/>
              </w:rPr>
              <w:tab/>
            </w:r>
            <w:r w:rsidRPr="00F60073">
              <w:rPr>
                <w:noProof/>
                <w:webHidden/>
                <w:sz w:val="24"/>
              </w:rPr>
              <w:fldChar w:fldCharType="begin"/>
            </w:r>
            <w:r w:rsidRPr="00F60073">
              <w:rPr>
                <w:noProof/>
                <w:webHidden/>
                <w:sz w:val="24"/>
              </w:rPr>
              <w:instrText xml:space="preserve"> PAGEREF _Toc220588595 \h </w:instrText>
            </w:r>
            <w:r w:rsidRPr="00F60073">
              <w:rPr>
                <w:noProof/>
                <w:webHidden/>
                <w:sz w:val="24"/>
              </w:rPr>
            </w:r>
            <w:r w:rsidRPr="00F60073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9</w:t>
            </w:r>
            <w:r w:rsidRPr="00F60073">
              <w:rPr>
                <w:noProof/>
                <w:webHidden/>
                <w:sz w:val="24"/>
              </w:rPr>
              <w:fldChar w:fldCharType="end"/>
            </w:r>
          </w:hyperlink>
        </w:p>
        <w:p w:rsidR="00D41686" w:rsidRPr="00D6442F" w:rsidRDefault="00D41686" w:rsidP="00D41686">
          <w:pPr>
            <w:pStyle w:val="Sumrio1"/>
            <w:tabs>
              <w:tab w:val="right" w:leader="dot" w:pos="16840"/>
            </w:tabs>
            <w:rPr>
              <w:rStyle w:val="Hyperlink"/>
              <w:noProof/>
              <w:sz w:val="24"/>
            </w:rPr>
          </w:pPr>
          <w:hyperlink w:anchor="_Toc220588596" w:history="1">
            <w:r w:rsidRPr="00D6442F">
              <w:rPr>
                <w:rStyle w:val="Hyperlink"/>
                <w:noProof/>
                <w:sz w:val="24"/>
              </w:rPr>
              <w:t xml:space="preserve">1. OG EM NÚMEROS: BIÊNIO </w:t>
            </w:r>
            <w:r w:rsidRPr="00D6442F">
              <w:rPr>
                <w:rStyle w:val="Hyperlink"/>
                <w:noProof/>
                <w:sz w:val="24"/>
              </w:rPr>
              <w:t>2024–2026</w:t>
            </w:r>
            <w:r w:rsidRPr="00D6442F">
              <w:rPr>
                <w:noProof/>
                <w:webHidden/>
                <w:sz w:val="24"/>
              </w:rPr>
              <w:tab/>
            </w:r>
            <w:r w:rsidRPr="00D6442F">
              <w:rPr>
                <w:noProof/>
                <w:webHidden/>
                <w:sz w:val="24"/>
              </w:rPr>
              <w:fldChar w:fldCharType="begin"/>
            </w:r>
            <w:r w:rsidRPr="00D6442F">
              <w:rPr>
                <w:noProof/>
                <w:webHidden/>
                <w:sz w:val="24"/>
              </w:rPr>
              <w:instrText xml:space="preserve"> PAGEREF _Toc220588596 \h </w:instrText>
            </w:r>
            <w:r w:rsidRPr="00D6442F">
              <w:rPr>
                <w:noProof/>
                <w:webHidden/>
                <w:sz w:val="24"/>
              </w:rPr>
            </w:r>
            <w:r w:rsidRPr="00D6442F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17</w:t>
            </w:r>
            <w:r w:rsidRPr="00D6442F">
              <w:rPr>
                <w:noProof/>
                <w:webHidden/>
                <w:sz w:val="24"/>
              </w:rPr>
              <w:fldChar w:fldCharType="end"/>
            </w:r>
          </w:hyperlink>
          <w:r w:rsidR="00516DF7">
            <w:rPr>
              <w:rStyle w:val="Hyperlink"/>
              <w:noProof/>
              <w:sz w:val="24"/>
            </w:rPr>
            <w:t>0</w:t>
          </w:r>
        </w:p>
        <w:p w:rsidR="00D41686" w:rsidRDefault="00D41686" w:rsidP="00D41686">
          <w:pPr>
            <w:pStyle w:val="Sumrio2"/>
            <w:tabs>
              <w:tab w:val="right" w:leader="dot" w:pos="16840"/>
            </w:tabs>
            <w:rPr>
              <w:rStyle w:val="Hyperlink"/>
              <w:noProof/>
              <w:sz w:val="24"/>
            </w:rPr>
          </w:pPr>
          <w:r w:rsidRPr="00F60073">
            <w:rPr>
              <w:rStyle w:val="Hyperlink"/>
              <w:noProof/>
              <w:sz w:val="24"/>
            </w:rPr>
            <w:fldChar w:fldCharType="begin"/>
          </w:r>
          <w:r w:rsidRPr="00F60073">
            <w:rPr>
              <w:rStyle w:val="Hyperlink"/>
              <w:noProof/>
              <w:sz w:val="24"/>
            </w:rPr>
            <w:instrText xml:space="preserve"> </w:instrText>
          </w:r>
          <w:r w:rsidRPr="00F60073">
            <w:rPr>
              <w:noProof/>
              <w:sz w:val="24"/>
            </w:rPr>
            <w:instrText>HYPERLINK \l "_Toc220588597"</w:instrText>
          </w:r>
          <w:r w:rsidRPr="00F60073">
            <w:rPr>
              <w:rStyle w:val="Hyperlink"/>
              <w:noProof/>
              <w:sz w:val="24"/>
            </w:rPr>
            <w:instrText xml:space="preserve"> </w:instrText>
          </w:r>
          <w:r w:rsidRPr="00F60073">
            <w:rPr>
              <w:rStyle w:val="Hyperlink"/>
              <w:noProof/>
              <w:sz w:val="24"/>
            </w:rPr>
          </w:r>
          <w:r w:rsidRPr="00F60073">
            <w:rPr>
              <w:rStyle w:val="Hyperlink"/>
              <w:noProof/>
              <w:sz w:val="24"/>
            </w:rPr>
            <w:fldChar w:fldCharType="separate"/>
          </w:r>
          <w:r>
            <w:rPr>
              <w:rStyle w:val="Hyperlink"/>
              <w:rFonts w:cstheme="minorHAnsi"/>
              <w:noProof/>
              <w:sz w:val="24"/>
            </w:rPr>
            <w:t>1</w:t>
          </w:r>
          <w:r w:rsidRPr="00F60073">
            <w:rPr>
              <w:rStyle w:val="Hyperlink"/>
              <w:rFonts w:cstheme="minorHAnsi"/>
              <w:noProof/>
              <w:sz w:val="24"/>
            </w:rPr>
            <w:t xml:space="preserve">.1 </w:t>
          </w:r>
          <w:r>
            <w:rPr>
              <w:rStyle w:val="Hyperlink"/>
              <w:rFonts w:cstheme="minorHAnsi"/>
              <w:noProof/>
              <w:sz w:val="24"/>
            </w:rPr>
            <w:t>Manifestações registradas no sistema eletrônico</w:t>
          </w:r>
          <w:r w:rsidRPr="00F60073">
            <w:rPr>
              <w:rStyle w:val="Hyperlink"/>
              <w:rFonts w:cstheme="minorHAnsi"/>
              <w:noProof/>
              <w:sz w:val="24"/>
            </w:rPr>
            <w:t xml:space="preserve"> da Ouvidoria-Geral</w:t>
          </w:r>
          <w:r w:rsidRPr="00F60073">
            <w:rPr>
              <w:noProof/>
              <w:webHidden/>
              <w:sz w:val="24"/>
            </w:rPr>
            <w:tab/>
          </w:r>
          <w:r w:rsidRPr="00F60073">
            <w:rPr>
              <w:noProof/>
              <w:webHidden/>
              <w:sz w:val="24"/>
            </w:rPr>
            <w:fldChar w:fldCharType="begin"/>
          </w:r>
          <w:r w:rsidRPr="00F60073">
            <w:rPr>
              <w:noProof/>
              <w:webHidden/>
              <w:sz w:val="24"/>
            </w:rPr>
            <w:instrText xml:space="preserve"> PAGEREF _Toc220588597 \h </w:instrText>
          </w:r>
          <w:r w:rsidRPr="00F60073">
            <w:rPr>
              <w:noProof/>
              <w:webHidden/>
              <w:sz w:val="24"/>
            </w:rPr>
          </w:r>
          <w:r w:rsidRPr="00F60073">
            <w:rPr>
              <w:noProof/>
              <w:webHidden/>
              <w:sz w:val="24"/>
            </w:rPr>
            <w:fldChar w:fldCharType="separate"/>
          </w:r>
          <w:r w:rsidR="002A4AEC">
            <w:rPr>
              <w:noProof/>
              <w:webHidden/>
              <w:sz w:val="24"/>
            </w:rPr>
            <w:t>17</w:t>
          </w:r>
          <w:r w:rsidRPr="00F60073">
            <w:rPr>
              <w:noProof/>
              <w:webHidden/>
              <w:sz w:val="24"/>
            </w:rPr>
            <w:fldChar w:fldCharType="end"/>
          </w:r>
          <w:r w:rsidRPr="00F60073">
            <w:rPr>
              <w:rStyle w:val="Hyperlink"/>
              <w:noProof/>
              <w:sz w:val="24"/>
            </w:rPr>
            <w:fldChar w:fldCharType="end"/>
          </w:r>
          <w:r w:rsidR="00516DF7">
            <w:rPr>
              <w:rStyle w:val="Hyperlink"/>
              <w:noProof/>
              <w:sz w:val="24"/>
            </w:rPr>
            <w:t>0</w:t>
          </w:r>
        </w:p>
        <w:p w:rsidR="00D41686" w:rsidRDefault="00D41686" w:rsidP="00D41686">
          <w:pPr>
            <w:pStyle w:val="Sumrio2"/>
            <w:tabs>
              <w:tab w:val="right" w:leader="dot" w:pos="16840"/>
            </w:tabs>
            <w:rPr>
              <w:rStyle w:val="Hyperlink"/>
              <w:noProof/>
              <w:sz w:val="24"/>
            </w:rPr>
          </w:pPr>
          <w:r w:rsidRPr="00F60073">
            <w:rPr>
              <w:rStyle w:val="Hyperlink"/>
              <w:noProof/>
              <w:sz w:val="24"/>
            </w:rPr>
            <w:fldChar w:fldCharType="begin"/>
          </w:r>
          <w:r w:rsidRPr="00F60073">
            <w:rPr>
              <w:rStyle w:val="Hyperlink"/>
              <w:noProof/>
              <w:sz w:val="24"/>
            </w:rPr>
            <w:instrText xml:space="preserve"> </w:instrText>
          </w:r>
          <w:r w:rsidRPr="00F60073">
            <w:rPr>
              <w:noProof/>
              <w:sz w:val="24"/>
            </w:rPr>
            <w:instrText>HYPERLINK \l "_Toc220588597"</w:instrText>
          </w:r>
          <w:r w:rsidRPr="00F60073">
            <w:rPr>
              <w:rStyle w:val="Hyperlink"/>
              <w:noProof/>
              <w:sz w:val="24"/>
            </w:rPr>
            <w:instrText xml:space="preserve"> </w:instrText>
          </w:r>
          <w:r w:rsidRPr="00F60073">
            <w:rPr>
              <w:rStyle w:val="Hyperlink"/>
              <w:noProof/>
              <w:sz w:val="24"/>
            </w:rPr>
          </w:r>
          <w:r w:rsidRPr="00F60073">
            <w:rPr>
              <w:rStyle w:val="Hyperlink"/>
              <w:noProof/>
              <w:sz w:val="24"/>
            </w:rPr>
            <w:fldChar w:fldCharType="separate"/>
          </w:r>
          <w:r>
            <w:rPr>
              <w:rStyle w:val="Hyperlink"/>
              <w:rFonts w:cstheme="minorHAnsi"/>
              <w:noProof/>
              <w:sz w:val="24"/>
            </w:rPr>
            <w:t>1.2</w:t>
          </w:r>
          <w:r w:rsidRPr="00F60073">
            <w:rPr>
              <w:rStyle w:val="Hyperlink"/>
              <w:rFonts w:cstheme="minorHAnsi"/>
              <w:noProof/>
              <w:sz w:val="24"/>
            </w:rPr>
            <w:t xml:space="preserve"> </w:t>
          </w:r>
          <w:r w:rsidRPr="00D41686">
            <w:rPr>
              <w:rFonts w:ascii="Arial" w:eastAsia="Times New Roman" w:hAnsi="Arial" w:cs="Arial"/>
              <w:sz w:val="24"/>
              <w:szCs w:val="40"/>
              <w:lang w:val="pt-BR" w:eastAsia="pt-BR"/>
            </w:rPr>
            <w:t>Manifestações registradas no sistema eletrônico da Ouvidoria-Geral/TJPE por natureza e ano</w:t>
          </w:r>
          <w:r w:rsidRPr="00F60073">
            <w:rPr>
              <w:noProof/>
              <w:webHidden/>
              <w:sz w:val="24"/>
            </w:rPr>
            <w:tab/>
          </w:r>
          <w:r w:rsidRPr="00F60073">
            <w:rPr>
              <w:noProof/>
              <w:webHidden/>
              <w:sz w:val="24"/>
            </w:rPr>
            <w:fldChar w:fldCharType="begin"/>
          </w:r>
          <w:r w:rsidRPr="00F60073">
            <w:rPr>
              <w:noProof/>
              <w:webHidden/>
              <w:sz w:val="24"/>
            </w:rPr>
            <w:instrText xml:space="preserve"> PAGEREF _Toc220588597 \h </w:instrText>
          </w:r>
          <w:r w:rsidRPr="00F60073">
            <w:rPr>
              <w:noProof/>
              <w:webHidden/>
              <w:sz w:val="24"/>
            </w:rPr>
          </w:r>
          <w:r w:rsidRPr="00F60073">
            <w:rPr>
              <w:noProof/>
              <w:webHidden/>
              <w:sz w:val="24"/>
            </w:rPr>
            <w:fldChar w:fldCharType="separate"/>
          </w:r>
          <w:r w:rsidR="002A4AEC">
            <w:rPr>
              <w:noProof/>
              <w:webHidden/>
              <w:sz w:val="24"/>
            </w:rPr>
            <w:t>17</w:t>
          </w:r>
          <w:r w:rsidRPr="00F60073">
            <w:rPr>
              <w:noProof/>
              <w:webHidden/>
              <w:sz w:val="24"/>
            </w:rPr>
            <w:fldChar w:fldCharType="end"/>
          </w:r>
          <w:r w:rsidRPr="00F60073">
            <w:rPr>
              <w:rStyle w:val="Hyperlink"/>
              <w:noProof/>
              <w:sz w:val="24"/>
            </w:rPr>
            <w:fldChar w:fldCharType="end"/>
          </w:r>
          <w:r w:rsidR="00516DF7">
            <w:rPr>
              <w:rStyle w:val="Hyperlink"/>
              <w:noProof/>
              <w:sz w:val="24"/>
            </w:rPr>
            <w:t>2</w:t>
          </w:r>
        </w:p>
        <w:p w:rsidR="00D41686" w:rsidRDefault="00D41686" w:rsidP="00D41686">
          <w:pPr>
            <w:pStyle w:val="Sumrio2"/>
            <w:tabs>
              <w:tab w:val="right" w:leader="dot" w:pos="16840"/>
            </w:tabs>
            <w:rPr>
              <w:rStyle w:val="Hyperlink"/>
              <w:noProof/>
              <w:sz w:val="24"/>
            </w:rPr>
          </w:pPr>
          <w:r w:rsidRPr="00F60073">
            <w:rPr>
              <w:rStyle w:val="Hyperlink"/>
              <w:noProof/>
              <w:sz w:val="24"/>
            </w:rPr>
            <w:fldChar w:fldCharType="begin"/>
          </w:r>
          <w:r w:rsidRPr="00F60073">
            <w:rPr>
              <w:rStyle w:val="Hyperlink"/>
              <w:noProof/>
              <w:sz w:val="24"/>
            </w:rPr>
            <w:instrText xml:space="preserve"> </w:instrText>
          </w:r>
          <w:r w:rsidRPr="00F60073">
            <w:rPr>
              <w:noProof/>
              <w:sz w:val="24"/>
            </w:rPr>
            <w:instrText>HYPERLINK \l "_Toc220588597"</w:instrText>
          </w:r>
          <w:r w:rsidRPr="00F60073">
            <w:rPr>
              <w:rStyle w:val="Hyperlink"/>
              <w:noProof/>
              <w:sz w:val="24"/>
            </w:rPr>
            <w:instrText xml:space="preserve"> </w:instrText>
          </w:r>
          <w:r w:rsidRPr="00F60073">
            <w:rPr>
              <w:rStyle w:val="Hyperlink"/>
              <w:noProof/>
              <w:sz w:val="24"/>
            </w:rPr>
          </w:r>
          <w:r w:rsidRPr="00F60073">
            <w:rPr>
              <w:rStyle w:val="Hyperlink"/>
              <w:noProof/>
              <w:sz w:val="24"/>
            </w:rPr>
            <w:fldChar w:fldCharType="separate"/>
          </w:r>
          <w:r>
            <w:rPr>
              <w:rStyle w:val="Hyperlink"/>
              <w:rFonts w:cstheme="minorHAnsi"/>
              <w:noProof/>
              <w:sz w:val="24"/>
            </w:rPr>
            <w:t>1.3</w:t>
          </w:r>
          <w:r w:rsidRPr="00F60073">
            <w:rPr>
              <w:rStyle w:val="Hyperlink"/>
              <w:rFonts w:cstheme="minorHAnsi"/>
              <w:noProof/>
              <w:sz w:val="24"/>
            </w:rPr>
            <w:t xml:space="preserve"> </w:t>
          </w:r>
          <w:r>
            <w:rPr>
              <w:rFonts w:ascii="Arial" w:eastAsia="Times New Roman" w:hAnsi="Arial" w:cs="Arial"/>
              <w:sz w:val="24"/>
              <w:szCs w:val="40"/>
              <w:lang w:val="pt-BR" w:eastAsia="pt-BR"/>
            </w:rPr>
            <w:t>Quadro comparativo quanto às m</w:t>
          </w:r>
          <w:r w:rsidRPr="00D41686">
            <w:rPr>
              <w:rFonts w:ascii="Arial" w:eastAsia="Times New Roman" w:hAnsi="Arial" w:cs="Arial"/>
              <w:sz w:val="24"/>
              <w:szCs w:val="40"/>
              <w:lang w:val="pt-BR" w:eastAsia="pt-BR"/>
            </w:rPr>
            <w:t xml:space="preserve">anifestações registradas no sistema eletrônico da </w:t>
          </w:r>
          <w:r>
            <w:rPr>
              <w:rFonts w:ascii="Arial" w:eastAsia="Times New Roman" w:hAnsi="Arial" w:cs="Arial"/>
              <w:sz w:val="24"/>
              <w:szCs w:val="40"/>
              <w:lang w:val="pt-BR" w:eastAsia="pt-BR"/>
            </w:rPr>
            <w:t>OG</w:t>
          </w:r>
          <w:r w:rsidRPr="00F60073">
            <w:rPr>
              <w:noProof/>
              <w:webHidden/>
              <w:sz w:val="24"/>
            </w:rPr>
            <w:tab/>
          </w:r>
          <w:r w:rsidRPr="00F60073">
            <w:rPr>
              <w:noProof/>
              <w:webHidden/>
              <w:sz w:val="24"/>
            </w:rPr>
            <w:fldChar w:fldCharType="begin"/>
          </w:r>
          <w:r w:rsidRPr="00F60073">
            <w:rPr>
              <w:noProof/>
              <w:webHidden/>
              <w:sz w:val="24"/>
            </w:rPr>
            <w:instrText xml:space="preserve"> PAGEREF _Toc220588597 \h </w:instrText>
          </w:r>
          <w:r w:rsidRPr="00F60073">
            <w:rPr>
              <w:noProof/>
              <w:webHidden/>
              <w:sz w:val="24"/>
            </w:rPr>
          </w:r>
          <w:r w:rsidRPr="00F60073">
            <w:rPr>
              <w:noProof/>
              <w:webHidden/>
              <w:sz w:val="24"/>
            </w:rPr>
            <w:fldChar w:fldCharType="separate"/>
          </w:r>
          <w:r w:rsidR="002A4AEC">
            <w:rPr>
              <w:noProof/>
              <w:webHidden/>
              <w:sz w:val="24"/>
            </w:rPr>
            <w:t>17</w:t>
          </w:r>
          <w:r w:rsidRPr="00F60073">
            <w:rPr>
              <w:noProof/>
              <w:webHidden/>
              <w:sz w:val="24"/>
            </w:rPr>
            <w:fldChar w:fldCharType="end"/>
          </w:r>
          <w:r w:rsidRPr="00F60073">
            <w:rPr>
              <w:rStyle w:val="Hyperlink"/>
              <w:noProof/>
              <w:sz w:val="24"/>
            </w:rPr>
            <w:fldChar w:fldCharType="end"/>
          </w:r>
          <w:r w:rsidR="00516DF7">
            <w:rPr>
              <w:rStyle w:val="Hyperlink"/>
              <w:noProof/>
              <w:sz w:val="24"/>
            </w:rPr>
            <w:t>4</w:t>
          </w:r>
        </w:p>
        <w:p w:rsidR="00D41686" w:rsidRPr="00F60073" w:rsidRDefault="00D41686" w:rsidP="00D41686">
          <w:pPr>
            <w:pStyle w:val="Sumrio2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noProof/>
              <w:sz w:val="28"/>
              <w:szCs w:val="22"/>
              <w:lang w:val="pt-BR" w:eastAsia="pt-BR"/>
            </w:rPr>
          </w:pPr>
          <w:r w:rsidRPr="00F60073">
            <w:rPr>
              <w:rStyle w:val="Hyperlink"/>
              <w:noProof/>
              <w:sz w:val="24"/>
            </w:rPr>
            <w:fldChar w:fldCharType="begin"/>
          </w:r>
          <w:r w:rsidRPr="00F60073">
            <w:rPr>
              <w:rStyle w:val="Hyperlink"/>
              <w:noProof/>
              <w:sz w:val="24"/>
            </w:rPr>
            <w:instrText xml:space="preserve"> </w:instrText>
          </w:r>
          <w:r w:rsidRPr="00F60073">
            <w:rPr>
              <w:noProof/>
              <w:sz w:val="24"/>
            </w:rPr>
            <w:instrText>HYPERLINK \l "_Toc220588597"</w:instrText>
          </w:r>
          <w:r w:rsidRPr="00F60073">
            <w:rPr>
              <w:rStyle w:val="Hyperlink"/>
              <w:noProof/>
              <w:sz w:val="24"/>
            </w:rPr>
            <w:instrText xml:space="preserve"> </w:instrText>
          </w:r>
          <w:r w:rsidRPr="00F60073">
            <w:rPr>
              <w:rStyle w:val="Hyperlink"/>
              <w:noProof/>
              <w:sz w:val="24"/>
            </w:rPr>
          </w:r>
          <w:r w:rsidRPr="00F60073">
            <w:rPr>
              <w:rStyle w:val="Hyperlink"/>
              <w:noProof/>
              <w:sz w:val="24"/>
            </w:rPr>
            <w:fldChar w:fldCharType="separate"/>
          </w:r>
          <w:r>
            <w:rPr>
              <w:rStyle w:val="Hyperlink"/>
              <w:rFonts w:cstheme="minorHAnsi"/>
              <w:noProof/>
              <w:sz w:val="24"/>
            </w:rPr>
            <w:t>1.4</w:t>
          </w:r>
          <w:r w:rsidRPr="00F60073">
            <w:rPr>
              <w:rStyle w:val="Hyperlink"/>
              <w:rFonts w:cstheme="minorHAnsi"/>
              <w:noProof/>
              <w:sz w:val="24"/>
            </w:rPr>
            <w:t xml:space="preserve"> </w:t>
          </w:r>
          <w:r>
            <w:rPr>
              <w:rFonts w:ascii="Arial" w:eastAsia="Times New Roman" w:hAnsi="Arial" w:cs="Arial"/>
              <w:sz w:val="24"/>
              <w:szCs w:val="40"/>
              <w:lang w:val="pt-BR" w:eastAsia="pt-BR"/>
            </w:rPr>
            <w:t>Quadro comparativo quanto às m</w:t>
          </w:r>
          <w:r w:rsidRPr="00D41686">
            <w:rPr>
              <w:rFonts w:ascii="Arial" w:eastAsia="Times New Roman" w:hAnsi="Arial" w:cs="Arial"/>
              <w:sz w:val="24"/>
              <w:szCs w:val="40"/>
              <w:lang w:val="pt-BR" w:eastAsia="pt-BR"/>
            </w:rPr>
            <w:t xml:space="preserve">anifestações registradas no sistema eletrônico da </w:t>
          </w:r>
          <w:r>
            <w:rPr>
              <w:rFonts w:ascii="Arial" w:eastAsia="Times New Roman" w:hAnsi="Arial" w:cs="Arial"/>
              <w:sz w:val="24"/>
              <w:szCs w:val="40"/>
              <w:lang w:val="pt-BR" w:eastAsia="pt-BR"/>
            </w:rPr>
            <w:t>OG</w:t>
          </w:r>
          <w:r>
            <w:rPr>
              <w:rFonts w:ascii="Arial" w:eastAsia="Times New Roman" w:hAnsi="Arial" w:cs="Arial"/>
              <w:sz w:val="24"/>
              <w:szCs w:val="40"/>
              <w:lang w:val="pt-BR" w:eastAsia="pt-BR"/>
            </w:rPr>
            <w:t xml:space="preserve"> – por natureza</w:t>
          </w:r>
          <w:r w:rsidRPr="00F60073">
            <w:rPr>
              <w:noProof/>
              <w:webHidden/>
              <w:sz w:val="24"/>
            </w:rPr>
            <w:tab/>
          </w:r>
          <w:r w:rsidRPr="00F60073">
            <w:rPr>
              <w:noProof/>
              <w:webHidden/>
              <w:sz w:val="24"/>
            </w:rPr>
            <w:fldChar w:fldCharType="begin"/>
          </w:r>
          <w:r w:rsidRPr="00F60073">
            <w:rPr>
              <w:noProof/>
              <w:webHidden/>
              <w:sz w:val="24"/>
            </w:rPr>
            <w:instrText xml:space="preserve"> PAGEREF _Toc220588597 \h </w:instrText>
          </w:r>
          <w:r w:rsidRPr="00F60073">
            <w:rPr>
              <w:noProof/>
              <w:webHidden/>
              <w:sz w:val="24"/>
            </w:rPr>
          </w:r>
          <w:r w:rsidRPr="00F60073">
            <w:rPr>
              <w:noProof/>
              <w:webHidden/>
              <w:sz w:val="24"/>
            </w:rPr>
            <w:fldChar w:fldCharType="separate"/>
          </w:r>
          <w:r w:rsidR="002A4AEC">
            <w:rPr>
              <w:noProof/>
              <w:webHidden/>
              <w:sz w:val="24"/>
            </w:rPr>
            <w:t>17</w:t>
          </w:r>
          <w:r w:rsidRPr="00F60073">
            <w:rPr>
              <w:noProof/>
              <w:webHidden/>
              <w:sz w:val="24"/>
            </w:rPr>
            <w:fldChar w:fldCharType="end"/>
          </w:r>
          <w:r w:rsidRPr="00F60073">
            <w:rPr>
              <w:rStyle w:val="Hyperlink"/>
              <w:noProof/>
              <w:sz w:val="24"/>
            </w:rPr>
            <w:fldChar w:fldCharType="end"/>
          </w:r>
          <w:r w:rsidR="00516DF7">
            <w:rPr>
              <w:rStyle w:val="Hyperlink"/>
              <w:noProof/>
              <w:sz w:val="24"/>
            </w:rPr>
            <w:t>5</w:t>
          </w:r>
        </w:p>
        <w:p w:rsidR="00D41686" w:rsidRPr="00F60073" w:rsidRDefault="00D41686" w:rsidP="00D41686">
          <w:pPr>
            <w:pStyle w:val="Sumrio2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bCs/>
              <w:noProof/>
              <w:sz w:val="28"/>
              <w:szCs w:val="22"/>
              <w:lang w:val="pt-BR" w:eastAsia="pt-BR"/>
            </w:rPr>
          </w:pPr>
          <w:r w:rsidRPr="00F60073">
            <w:rPr>
              <w:rStyle w:val="Hyperlink"/>
              <w:noProof/>
              <w:sz w:val="24"/>
            </w:rPr>
            <w:fldChar w:fldCharType="begin"/>
          </w:r>
          <w:r w:rsidRPr="00F60073">
            <w:rPr>
              <w:rStyle w:val="Hyperlink"/>
              <w:noProof/>
              <w:sz w:val="24"/>
            </w:rPr>
            <w:instrText xml:space="preserve"> </w:instrText>
          </w:r>
          <w:r w:rsidRPr="00F60073">
            <w:rPr>
              <w:noProof/>
              <w:sz w:val="24"/>
            </w:rPr>
            <w:instrText>HYPERLINK \l "_Toc220588597"</w:instrText>
          </w:r>
          <w:r w:rsidRPr="00F60073">
            <w:rPr>
              <w:rStyle w:val="Hyperlink"/>
              <w:noProof/>
              <w:sz w:val="24"/>
            </w:rPr>
            <w:instrText xml:space="preserve"> </w:instrText>
          </w:r>
          <w:r w:rsidRPr="00F60073">
            <w:rPr>
              <w:rStyle w:val="Hyperlink"/>
              <w:noProof/>
              <w:sz w:val="24"/>
            </w:rPr>
          </w:r>
          <w:r w:rsidRPr="00F60073">
            <w:rPr>
              <w:rStyle w:val="Hyperlink"/>
              <w:noProof/>
              <w:sz w:val="24"/>
            </w:rPr>
            <w:fldChar w:fldCharType="separate"/>
          </w:r>
          <w:r>
            <w:rPr>
              <w:rStyle w:val="Hyperlink"/>
              <w:rFonts w:cstheme="minorHAnsi"/>
              <w:noProof/>
              <w:sz w:val="24"/>
            </w:rPr>
            <w:t>1.5</w:t>
          </w:r>
          <w:r w:rsidRPr="00F60073">
            <w:rPr>
              <w:rStyle w:val="Hyperlink"/>
              <w:rFonts w:cstheme="minorHAnsi"/>
              <w:noProof/>
              <w:sz w:val="24"/>
            </w:rPr>
            <w:t xml:space="preserve"> </w:t>
          </w:r>
          <w:r>
            <w:rPr>
              <w:rFonts w:ascii="Arial" w:eastAsia="Times New Roman" w:hAnsi="Arial" w:cs="Arial"/>
              <w:sz w:val="24"/>
              <w:szCs w:val="40"/>
              <w:lang w:val="pt-BR" w:eastAsia="pt-BR"/>
            </w:rPr>
            <w:t>Número total de atendimentos por canal de comunicação</w:t>
          </w:r>
          <w:r w:rsidRPr="00F60073">
            <w:rPr>
              <w:noProof/>
              <w:webHidden/>
              <w:sz w:val="24"/>
            </w:rPr>
            <w:tab/>
          </w:r>
          <w:r w:rsidRPr="00F60073">
            <w:rPr>
              <w:noProof/>
              <w:webHidden/>
              <w:sz w:val="24"/>
            </w:rPr>
            <w:fldChar w:fldCharType="begin"/>
          </w:r>
          <w:r w:rsidRPr="00F60073">
            <w:rPr>
              <w:noProof/>
              <w:webHidden/>
              <w:sz w:val="24"/>
            </w:rPr>
            <w:instrText xml:space="preserve"> PAGEREF _Toc220588597 \h </w:instrText>
          </w:r>
          <w:r w:rsidRPr="00F60073">
            <w:rPr>
              <w:noProof/>
              <w:webHidden/>
              <w:sz w:val="24"/>
            </w:rPr>
          </w:r>
          <w:r w:rsidRPr="00F60073">
            <w:rPr>
              <w:noProof/>
              <w:webHidden/>
              <w:sz w:val="24"/>
            </w:rPr>
            <w:fldChar w:fldCharType="separate"/>
          </w:r>
          <w:r w:rsidR="002A4AEC">
            <w:rPr>
              <w:noProof/>
              <w:webHidden/>
              <w:sz w:val="24"/>
            </w:rPr>
            <w:t>17</w:t>
          </w:r>
          <w:r w:rsidRPr="00F60073">
            <w:rPr>
              <w:noProof/>
              <w:webHidden/>
              <w:sz w:val="24"/>
            </w:rPr>
            <w:fldChar w:fldCharType="end"/>
          </w:r>
          <w:r w:rsidRPr="00F60073">
            <w:rPr>
              <w:rStyle w:val="Hyperlink"/>
              <w:noProof/>
              <w:sz w:val="24"/>
            </w:rPr>
            <w:fldChar w:fldCharType="end"/>
          </w:r>
          <w:r w:rsidR="00516DF7">
            <w:rPr>
              <w:rStyle w:val="Hyperlink"/>
              <w:noProof/>
              <w:sz w:val="24"/>
            </w:rPr>
            <w:t>6</w:t>
          </w:r>
        </w:p>
        <w:p w:rsidR="00653559" w:rsidRPr="00D6442F" w:rsidRDefault="00653559" w:rsidP="00D41686">
          <w:pPr>
            <w:pStyle w:val="Sumrio1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bCs w:val="0"/>
              <w:noProof/>
              <w:sz w:val="28"/>
              <w:szCs w:val="22"/>
              <w:lang w:val="pt-BR" w:eastAsia="pt-BR"/>
            </w:rPr>
          </w:pPr>
          <w:r w:rsidRPr="00D6442F">
            <w:rPr>
              <w:rStyle w:val="Hyperlink"/>
              <w:noProof/>
              <w:sz w:val="24"/>
            </w:rPr>
            <w:fldChar w:fldCharType="begin"/>
          </w:r>
          <w:r w:rsidRPr="00D6442F">
            <w:rPr>
              <w:rStyle w:val="Hyperlink"/>
              <w:noProof/>
              <w:sz w:val="24"/>
            </w:rPr>
            <w:instrText xml:space="preserve"> </w:instrText>
          </w:r>
          <w:r w:rsidRPr="00D6442F">
            <w:rPr>
              <w:noProof/>
              <w:sz w:val="24"/>
            </w:rPr>
            <w:instrText>HYPERLINK \l "_Toc220588596"</w:instrText>
          </w:r>
          <w:r w:rsidRPr="00D6442F">
            <w:rPr>
              <w:rStyle w:val="Hyperlink"/>
              <w:noProof/>
              <w:sz w:val="24"/>
            </w:rPr>
            <w:instrText xml:space="preserve"> </w:instrText>
          </w:r>
          <w:r w:rsidRPr="00D6442F">
            <w:rPr>
              <w:rStyle w:val="Hyperlink"/>
              <w:noProof/>
              <w:sz w:val="24"/>
            </w:rPr>
          </w:r>
          <w:r w:rsidRPr="00D6442F">
            <w:rPr>
              <w:rStyle w:val="Hyperlink"/>
              <w:noProof/>
              <w:sz w:val="24"/>
            </w:rPr>
            <w:fldChar w:fldCharType="separate"/>
          </w:r>
          <w:r w:rsidRPr="00D6442F">
            <w:rPr>
              <w:rStyle w:val="Hyperlink"/>
              <w:noProof/>
              <w:sz w:val="24"/>
            </w:rPr>
            <w:t>2. PRINCIPAIS FATOS QUE MARCARAM A GESTÃO (2024–2026)</w:t>
          </w:r>
          <w:r w:rsidRPr="00D6442F">
            <w:rPr>
              <w:noProof/>
              <w:webHidden/>
              <w:sz w:val="24"/>
            </w:rPr>
            <w:tab/>
          </w:r>
          <w:r w:rsidRPr="00D6442F">
            <w:rPr>
              <w:noProof/>
              <w:webHidden/>
              <w:sz w:val="24"/>
            </w:rPr>
            <w:fldChar w:fldCharType="begin"/>
          </w:r>
          <w:r w:rsidRPr="00D6442F">
            <w:rPr>
              <w:noProof/>
              <w:webHidden/>
              <w:sz w:val="24"/>
            </w:rPr>
            <w:instrText xml:space="preserve"> PAGEREF _Toc220588596 \h </w:instrText>
          </w:r>
          <w:r w:rsidRPr="00D6442F">
            <w:rPr>
              <w:noProof/>
              <w:webHidden/>
              <w:sz w:val="24"/>
            </w:rPr>
          </w:r>
          <w:r w:rsidRPr="00D6442F">
            <w:rPr>
              <w:noProof/>
              <w:webHidden/>
              <w:sz w:val="24"/>
            </w:rPr>
            <w:fldChar w:fldCharType="separate"/>
          </w:r>
          <w:r w:rsidR="002A4AEC">
            <w:rPr>
              <w:noProof/>
              <w:webHidden/>
              <w:sz w:val="24"/>
            </w:rPr>
            <w:t>17</w:t>
          </w:r>
          <w:r w:rsidRPr="00D6442F">
            <w:rPr>
              <w:noProof/>
              <w:webHidden/>
              <w:sz w:val="24"/>
            </w:rPr>
            <w:fldChar w:fldCharType="end"/>
          </w:r>
          <w:r w:rsidRPr="00D6442F">
            <w:rPr>
              <w:rStyle w:val="Hyperlink"/>
              <w:noProof/>
              <w:sz w:val="24"/>
            </w:rPr>
            <w:fldChar w:fldCharType="end"/>
          </w:r>
        </w:p>
        <w:p w:rsidR="00653559" w:rsidRPr="00F60073" w:rsidRDefault="00653559" w:rsidP="00D41686">
          <w:pPr>
            <w:pStyle w:val="Sumrio2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noProof/>
              <w:sz w:val="28"/>
              <w:szCs w:val="22"/>
              <w:lang w:val="pt-BR" w:eastAsia="pt-BR"/>
            </w:rPr>
          </w:pPr>
          <w:hyperlink w:anchor="_Toc220588597" w:history="1">
            <w:r w:rsidRPr="00F60073">
              <w:rPr>
                <w:rStyle w:val="Hyperlink"/>
                <w:rFonts w:cstheme="minorHAnsi"/>
                <w:noProof/>
                <w:sz w:val="24"/>
              </w:rPr>
              <w:t>2.1 Estruturação e fortalecimento institucional da Ouvidoria-Geral</w:t>
            </w:r>
            <w:r w:rsidRPr="00F60073">
              <w:rPr>
                <w:noProof/>
                <w:webHidden/>
                <w:sz w:val="24"/>
              </w:rPr>
              <w:tab/>
            </w:r>
            <w:r w:rsidRPr="00F60073">
              <w:rPr>
                <w:noProof/>
                <w:webHidden/>
                <w:sz w:val="24"/>
              </w:rPr>
              <w:fldChar w:fldCharType="begin"/>
            </w:r>
            <w:r w:rsidRPr="00F60073">
              <w:rPr>
                <w:noProof/>
                <w:webHidden/>
                <w:sz w:val="24"/>
              </w:rPr>
              <w:instrText xml:space="preserve"> PAGEREF _Toc220588597 \h </w:instrText>
            </w:r>
            <w:r w:rsidRPr="00F60073">
              <w:rPr>
                <w:noProof/>
                <w:webHidden/>
                <w:sz w:val="24"/>
              </w:rPr>
            </w:r>
            <w:r w:rsidRPr="00F60073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17</w:t>
            </w:r>
            <w:r w:rsidRPr="00F60073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Pr="00F60073" w:rsidRDefault="00653559" w:rsidP="00D41686">
          <w:pPr>
            <w:pStyle w:val="Sumrio2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noProof/>
              <w:sz w:val="28"/>
              <w:szCs w:val="22"/>
              <w:lang w:val="pt-BR" w:eastAsia="pt-BR"/>
            </w:rPr>
          </w:pPr>
          <w:hyperlink w:anchor="_Toc220588598" w:history="1">
            <w:r w:rsidRPr="00F60073">
              <w:rPr>
                <w:rStyle w:val="Hyperlink"/>
                <w:rFonts w:cstheme="minorHAnsi"/>
                <w:noProof/>
                <w:sz w:val="24"/>
              </w:rPr>
              <w:t>2.2 Projetos de modernização e ampliação dos canais de atendimento</w:t>
            </w:r>
            <w:r w:rsidRPr="00F60073">
              <w:rPr>
                <w:noProof/>
                <w:webHidden/>
                <w:sz w:val="24"/>
              </w:rPr>
              <w:tab/>
            </w:r>
            <w:r w:rsidRPr="00F60073">
              <w:rPr>
                <w:noProof/>
                <w:webHidden/>
                <w:sz w:val="24"/>
              </w:rPr>
              <w:fldChar w:fldCharType="begin"/>
            </w:r>
            <w:r w:rsidRPr="00F60073">
              <w:rPr>
                <w:noProof/>
                <w:webHidden/>
                <w:sz w:val="24"/>
              </w:rPr>
              <w:instrText xml:space="preserve"> PAGEREF _Toc220588598 \h </w:instrText>
            </w:r>
            <w:r w:rsidRPr="00F60073">
              <w:rPr>
                <w:noProof/>
                <w:webHidden/>
                <w:sz w:val="24"/>
              </w:rPr>
            </w:r>
            <w:r w:rsidRPr="00F60073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18</w:t>
            </w:r>
            <w:r w:rsidRPr="00F60073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Pr="00F60073" w:rsidRDefault="00653559" w:rsidP="00D41686">
          <w:pPr>
            <w:pStyle w:val="Sumrio2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noProof/>
              <w:sz w:val="28"/>
              <w:szCs w:val="22"/>
              <w:lang w:val="pt-BR" w:eastAsia="pt-BR"/>
            </w:rPr>
          </w:pPr>
          <w:hyperlink w:anchor="_Toc220588599" w:history="1">
            <w:r w:rsidRPr="00F60073">
              <w:rPr>
                <w:rStyle w:val="Hyperlink"/>
                <w:rFonts w:cstheme="minorHAnsi"/>
                <w:noProof/>
                <w:sz w:val="24"/>
              </w:rPr>
              <w:t>2.3 Criação e consolidação da Ouvidoria da Mulher</w:t>
            </w:r>
            <w:r w:rsidRPr="00F60073">
              <w:rPr>
                <w:noProof/>
                <w:webHidden/>
                <w:sz w:val="24"/>
              </w:rPr>
              <w:tab/>
            </w:r>
            <w:r w:rsidRPr="00F60073">
              <w:rPr>
                <w:noProof/>
                <w:webHidden/>
                <w:sz w:val="24"/>
              </w:rPr>
              <w:fldChar w:fldCharType="begin"/>
            </w:r>
            <w:r w:rsidRPr="00F60073">
              <w:rPr>
                <w:noProof/>
                <w:webHidden/>
                <w:sz w:val="24"/>
              </w:rPr>
              <w:instrText xml:space="preserve"> PAGEREF _Toc220588599 \h </w:instrText>
            </w:r>
            <w:r w:rsidRPr="00F60073">
              <w:rPr>
                <w:noProof/>
                <w:webHidden/>
                <w:sz w:val="24"/>
              </w:rPr>
            </w:r>
            <w:r w:rsidRPr="00F60073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18</w:t>
            </w:r>
            <w:r w:rsidRPr="00F60073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Pr="00F60073" w:rsidRDefault="00653559" w:rsidP="00D41686">
          <w:pPr>
            <w:pStyle w:val="Sumrio2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noProof/>
              <w:sz w:val="28"/>
              <w:szCs w:val="22"/>
              <w:lang w:val="pt-BR" w:eastAsia="pt-BR"/>
            </w:rPr>
          </w:pPr>
          <w:hyperlink w:anchor="_Toc220588600" w:history="1">
            <w:r w:rsidRPr="00F60073">
              <w:rPr>
                <w:rStyle w:val="Hyperlink"/>
                <w:rFonts w:cstheme="minorHAnsi"/>
                <w:noProof/>
                <w:sz w:val="24"/>
              </w:rPr>
              <w:t>2.4 Articulação institucional e participação em redes de Ouvidorias</w:t>
            </w:r>
            <w:r w:rsidRPr="00F60073">
              <w:rPr>
                <w:noProof/>
                <w:webHidden/>
                <w:sz w:val="24"/>
              </w:rPr>
              <w:tab/>
            </w:r>
            <w:r w:rsidRPr="00F60073">
              <w:rPr>
                <w:noProof/>
                <w:webHidden/>
                <w:sz w:val="24"/>
              </w:rPr>
              <w:fldChar w:fldCharType="begin"/>
            </w:r>
            <w:r w:rsidRPr="00F60073">
              <w:rPr>
                <w:noProof/>
                <w:webHidden/>
                <w:sz w:val="24"/>
              </w:rPr>
              <w:instrText xml:space="preserve"> PAGEREF _Toc220588600 \h </w:instrText>
            </w:r>
            <w:r w:rsidRPr="00F60073">
              <w:rPr>
                <w:noProof/>
                <w:webHidden/>
                <w:sz w:val="24"/>
              </w:rPr>
            </w:r>
            <w:r w:rsidRPr="00F60073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19</w:t>
            </w:r>
            <w:r w:rsidRPr="00F60073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Pr="00F60073" w:rsidRDefault="00653559" w:rsidP="00D41686">
          <w:pPr>
            <w:pStyle w:val="Sumrio2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noProof/>
              <w:sz w:val="28"/>
              <w:szCs w:val="22"/>
              <w:lang w:val="pt-BR" w:eastAsia="pt-BR"/>
            </w:rPr>
          </w:pPr>
          <w:hyperlink w:anchor="_Toc220588601" w:history="1">
            <w:r w:rsidRPr="00F60073">
              <w:rPr>
                <w:rStyle w:val="Hyperlink"/>
                <w:rFonts w:cstheme="minorHAnsi"/>
                <w:noProof/>
                <w:sz w:val="24"/>
              </w:rPr>
              <w:t>2.5 Participação e protagonismo nos encontros nacionais de Ouvidorias</w:t>
            </w:r>
            <w:r w:rsidRPr="00F60073">
              <w:rPr>
                <w:noProof/>
                <w:webHidden/>
                <w:sz w:val="24"/>
              </w:rPr>
              <w:tab/>
            </w:r>
            <w:r w:rsidRPr="00F60073">
              <w:rPr>
                <w:noProof/>
                <w:webHidden/>
                <w:sz w:val="24"/>
              </w:rPr>
              <w:fldChar w:fldCharType="begin"/>
            </w:r>
            <w:r w:rsidRPr="00F60073">
              <w:rPr>
                <w:noProof/>
                <w:webHidden/>
                <w:sz w:val="24"/>
              </w:rPr>
              <w:instrText xml:space="preserve"> PAGEREF _Toc220588601 \h </w:instrText>
            </w:r>
            <w:r w:rsidRPr="00F60073">
              <w:rPr>
                <w:noProof/>
                <w:webHidden/>
                <w:sz w:val="24"/>
              </w:rPr>
            </w:r>
            <w:r w:rsidRPr="00F60073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19</w:t>
            </w:r>
            <w:r w:rsidRPr="00F60073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Pr="00F60073" w:rsidRDefault="00653559" w:rsidP="00D41686">
          <w:pPr>
            <w:pStyle w:val="Sumrio2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noProof/>
              <w:sz w:val="28"/>
              <w:szCs w:val="22"/>
              <w:lang w:val="pt-BR" w:eastAsia="pt-BR"/>
            </w:rPr>
          </w:pPr>
          <w:hyperlink w:anchor="_Toc220588602" w:history="1">
            <w:r w:rsidRPr="00F60073">
              <w:rPr>
                <w:rStyle w:val="Hyperlink"/>
                <w:rFonts w:cstheme="minorHAnsi"/>
                <w:noProof/>
                <w:sz w:val="24"/>
              </w:rPr>
              <w:t>2.6 Interiorização da escuta cidadã – Projeto Ouvidoria Itinerante</w:t>
            </w:r>
            <w:r w:rsidRPr="00F60073">
              <w:rPr>
                <w:noProof/>
                <w:webHidden/>
                <w:sz w:val="24"/>
              </w:rPr>
              <w:tab/>
            </w:r>
            <w:r w:rsidRPr="00F60073">
              <w:rPr>
                <w:noProof/>
                <w:webHidden/>
                <w:sz w:val="24"/>
              </w:rPr>
              <w:fldChar w:fldCharType="begin"/>
            </w:r>
            <w:r w:rsidRPr="00F60073">
              <w:rPr>
                <w:noProof/>
                <w:webHidden/>
                <w:sz w:val="24"/>
              </w:rPr>
              <w:instrText xml:space="preserve"> PAGEREF _Toc220588602 \h </w:instrText>
            </w:r>
            <w:r w:rsidRPr="00F60073">
              <w:rPr>
                <w:noProof/>
                <w:webHidden/>
                <w:sz w:val="24"/>
              </w:rPr>
            </w:r>
            <w:r w:rsidRPr="00F60073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21</w:t>
            </w:r>
            <w:r w:rsidRPr="00F60073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Pr="00F60073" w:rsidRDefault="00653559" w:rsidP="00D41686">
          <w:pPr>
            <w:pStyle w:val="Sumrio2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noProof/>
              <w:sz w:val="28"/>
              <w:szCs w:val="22"/>
              <w:lang w:val="pt-BR" w:eastAsia="pt-BR"/>
            </w:rPr>
          </w:pPr>
          <w:hyperlink w:anchor="_Toc220588603" w:history="1">
            <w:r w:rsidRPr="00F60073">
              <w:rPr>
                <w:rStyle w:val="Hyperlink"/>
                <w:rFonts w:cstheme="minorHAnsi"/>
                <w:noProof/>
                <w:sz w:val="24"/>
              </w:rPr>
              <w:t>2.7 Reconhecimento institucional e preservação da memória da Ouvidoria</w:t>
            </w:r>
            <w:r w:rsidRPr="00F60073">
              <w:rPr>
                <w:noProof/>
                <w:webHidden/>
                <w:sz w:val="24"/>
              </w:rPr>
              <w:tab/>
            </w:r>
            <w:r w:rsidRPr="00F60073">
              <w:rPr>
                <w:noProof/>
                <w:webHidden/>
                <w:sz w:val="24"/>
              </w:rPr>
              <w:fldChar w:fldCharType="begin"/>
            </w:r>
            <w:r w:rsidRPr="00F60073">
              <w:rPr>
                <w:noProof/>
                <w:webHidden/>
                <w:sz w:val="24"/>
              </w:rPr>
              <w:instrText xml:space="preserve"> PAGEREF _Toc220588603 \h </w:instrText>
            </w:r>
            <w:r w:rsidRPr="00F60073">
              <w:rPr>
                <w:noProof/>
                <w:webHidden/>
                <w:sz w:val="24"/>
              </w:rPr>
            </w:r>
            <w:r w:rsidRPr="00F60073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22</w:t>
            </w:r>
            <w:r w:rsidRPr="00F60073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Pr="00F60073" w:rsidRDefault="00653559" w:rsidP="00D41686">
          <w:pPr>
            <w:pStyle w:val="Sumrio2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noProof/>
              <w:sz w:val="28"/>
              <w:szCs w:val="22"/>
              <w:lang w:val="pt-BR" w:eastAsia="pt-BR"/>
            </w:rPr>
          </w:pPr>
          <w:hyperlink w:anchor="_Toc220588604" w:history="1">
            <w:r w:rsidRPr="00F60073">
              <w:rPr>
                <w:rStyle w:val="Hyperlink"/>
                <w:rFonts w:cstheme="minorHAnsi"/>
                <w:noProof/>
                <w:sz w:val="24"/>
              </w:rPr>
              <w:t>2.8 Ações sociais e escuta ativa junto à comunidade</w:t>
            </w:r>
            <w:r w:rsidRPr="00F60073">
              <w:rPr>
                <w:noProof/>
                <w:webHidden/>
                <w:sz w:val="24"/>
              </w:rPr>
              <w:tab/>
            </w:r>
            <w:r w:rsidRPr="00F60073">
              <w:rPr>
                <w:noProof/>
                <w:webHidden/>
                <w:sz w:val="24"/>
              </w:rPr>
              <w:fldChar w:fldCharType="begin"/>
            </w:r>
            <w:r w:rsidRPr="00F60073">
              <w:rPr>
                <w:noProof/>
                <w:webHidden/>
                <w:sz w:val="24"/>
              </w:rPr>
              <w:instrText xml:space="preserve"> PAGEREF _Toc220588604 \h </w:instrText>
            </w:r>
            <w:r w:rsidRPr="00F60073">
              <w:rPr>
                <w:noProof/>
                <w:webHidden/>
                <w:sz w:val="24"/>
              </w:rPr>
            </w:r>
            <w:r w:rsidRPr="00F60073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23</w:t>
            </w:r>
            <w:r w:rsidRPr="00F60073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Pr="00F60073" w:rsidRDefault="00653559" w:rsidP="00D41686">
          <w:pPr>
            <w:pStyle w:val="Sumrio2"/>
            <w:tabs>
              <w:tab w:val="right" w:leader="dot" w:pos="16840"/>
            </w:tabs>
            <w:rPr>
              <w:rFonts w:asciiTheme="minorHAnsi" w:eastAsiaTheme="minorEastAsia" w:hAnsiTheme="minorHAnsi" w:cstheme="minorBidi"/>
              <w:noProof/>
              <w:sz w:val="28"/>
              <w:szCs w:val="22"/>
              <w:lang w:val="pt-BR" w:eastAsia="pt-BR"/>
            </w:rPr>
          </w:pPr>
          <w:hyperlink w:anchor="_Toc220588605" w:history="1">
            <w:r w:rsidRPr="00F60073">
              <w:rPr>
                <w:rStyle w:val="Hyperlink"/>
                <w:rFonts w:cstheme="minorHAnsi"/>
                <w:noProof/>
                <w:sz w:val="24"/>
              </w:rPr>
              <w:t>2.9 Formação continuada e políticas de direitos humanos</w:t>
            </w:r>
            <w:r w:rsidRPr="00F60073">
              <w:rPr>
                <w:noProof/>
                <w:webHidden/>
                <w:sz w:val="24"/>
              </w:rPr>
              <w:tab/>
            </w:r>
            <w:r w:rsidRPr="00F60073">
              <w:rPr>
                <w:noProof/>
                <w:webHidden/>
                <w:sz w:val="24"/>
              </w:rPr>
              <w:fldChar w:fldCharType="begin"/>
            </w:r>
            <w:r w:rsidRPr="00F60073">
              <w:rPr>
                <w:noProof/>
                <w:webHidden/>
                <w:sz w:val="24"/>
              </w:rPr>
              <w:instrText xml:space="preserve"> PAGEREF _Toc220588605 \h </w:instrText>
            </w:r>
            <w:r w:rsidRPr="00F60073">
              <w:rPr>
                <w:noProof/>
                <w:webHidden/>
                <w:sz w:val="24"/>
              </w:rPr>
            </w:r>
            <w:r w:rsidRPr="00F60073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23</w:t>
            </w:r>
            <w:r w:rsidRPr="00F60073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Pr="00D41686" w:rsidRDefault="00653559" w:rsidP="00D41686">
          <w:pPr>
            <w:pStyle w:val="Sumrio3"/>
          </w:pPr>
          <w:hyperlink w:anchor="_Toc220588606" w:history="1">
            <w:r w:rsidRPr="00D41686">
              <w:rPr>
                <w:rStyle w:val="Hyperlink"/>
              </w:rPr>
              <w:t>2.10. Contribuição da Ouvidoria-Geral para o desempenho institucional em premiações e rankings nacionais</w:t>
            </w:r>
            <w:r w:rsidRPr="00D41686">
              <w:rPr>
                <w:webHidden/>
              </w:rPr>
              <w:tab/>
            </w:r>
            <w:r w:rsidRPr="00D41686">
              <w:rPr>
                <w:webHidden/>
              </w:rPr>
              <w:fldChar w:fldCharType="begin"/>
            </w:r>
            <w:r w:rsidRPr="00D41686">
              <w:rPr>
                <w:webHidden/>
              </w:rPr>
              <w:instrText xml:space="preserve"> PAGEREF _Toc220588606 \h </w:instrText>
            </w:r>
            <w:r w:rsidRPr="00D41686">
              <w:rPr>
                <w:webHidden/>
              </w:rPr>
            </w:r>
            <w:r w:rsidRPr="00D41686">
              <w:rPr>
                <w:webHidden/>
              </w:rPr>
              <w:fldChar w:fldCharType="separate"/>
            </w:r>
            <w:r w:rsidR="002A4AEC">
              <w:rPr>
                <w:webHidden/>
              </w:rPr>
              <w:t>23</w:t>
            </w:r>
            <w:r w:rsidRPr="00D41686">
              <w:rPr>
                <w:webHidden/>
              </w:rPr>
              <w:fldChar w:fldCharType="end"/>
            </w:r>
          </w:hyperlink>
        </w:p>
        <w:p w:rsidR="00653559" w:rsidRPr="00D41686" w:rsidRDefault="00653559" w:rsidP="00D41686">
          <w:pPr>
            <w:pStyle w:val="Sumrio3"/>
          </w:pPr>
          <w:hyperlink w:anchor="_Toc220588607" w:history="1">
            <w:r w:rsidRPr="00D41686">
              <w:rPr>
                <w:rStyle w:val="Hyperlink"/>
                <w:color w:val="auto"/>
              </w:rPr>
              <w:t>2.11. Ampliação da divulgação institucional da Ouvidoria-Geral do TJPE</w:t>
            </w:r>
            <w:r w:rsidRPr="00D41686">
              <w:rPr>
                <w:webHidden/>
              </w:rPr>
              <w:tab/>
            </w:r>
            <w:r w:rsidRPr="00D41686">
              <w:rPr>
                <w:webHidden/>
              </w:rPr>
              <w:fldChar w:fldCharType="begin"/>
            </w:r>
            <w:r w:rsidRPr="00D41686">
              <w:rPr>
                <w:webHidden/>
              </w:rPr>
              <w:instrText xml:space="preserve"> PAGEREF _Toc220588607 \h </w:instrText>
            </w:r>
            <w:r w:rsidRPr="00D41686">
              <w:rPr>
                <w:webHidden/>
              </w:rPr>
            </w:r>
            <w:r w:rsidRPr="00D41686">
              <w:rPr>
                <w:webHidden/>
              </w:rPr>
              <w:fldChar w:fldCharType="separate"/>
            </w:r>
            <w:r w:rsidR="002A4AEC">
              <w:rPr>
                <w:webHidden/>
              </w:rPr>
              <w:t>24</w:t>
            </w:r>
            <w:r w:rsidRPr="00D41686">
              <w:rPr>
                <w:webHidden/>
              </w:rPr>
              <w:fldChar w:fldCharType="end"/>
            </w:r>
          </w:hyperlink>
        </w:p>
        <w:p w:rsidR="00653559" w:rsidRPr="00AB33DE" w:rsidRDefault="00653559" w:rsidP="00D41686">
          <w:pPr>
            <w:pStyle w:val="Sumrio2"/>
            <w:tabs>
              <w:tab w:val="right" w:leader="dot" w:pos="16840"/>
            </w:tabs>
            <w:ind w:left="1134" w:firstLine="0"/>
            <w:rPr>
              <w:rFonts w:asciiTheme="minorHAnsi" w:eastAsiaTheme="minorEastAsia" w:hAnsiTheme="minorHAnsi" w:cstheme="minorBidi"/>
              <w:noProof/>
              <w:sz w:val="28"/>
              <w:szCs w:val="22"/>
              <w:lang w:val="pt-BR" w:eastAsia="pt-BR"/>
            </w:rPr>
          </w:pPr>
          <w:hyperlink w:anchor="_Toc220588608" w:history="1">
            <w:r w:rsidRPr="00F60073">
              <w:rPr>
                <w:rStyle w:val="Hyperlink"/>
                <w:rFonts w:cstheme="minorHAnsi"/>
                <w:noProof/>
                <w:sz w:val="24"/>
              </w:rPr>
              <w:t>2.12. Articulação institucional com o Grupo de Monitoramento e Fiscalização do Sistema Carcerário e de Execução de Medidas Socioeducativas (GMF)</w:t>
            </w:r>
            <w:r w:rsidRPr="00F60073">
              <w:rPr>
                <w:noProof/>
                <w:webHidden/>
                <w:sz w:val="24"/>
              </w:rPr>
              <w:tab/>
            </w:r>
            <w:r w:rsidRPr="00F60073">
              <w:rPr>
                <w:noProof/>
                <w:webHidden/>
                <w:sz w:val="24"/>
              </w:rPr>
              <w:fldChar w:fldCharType="begin"/>
            </w:r>
            <w:r w:rsidRPr="00F60073">
              <w:rPr>
                <w:noProof/>
                <w:webHidden/>
                <w:sz w:val="24"/>
              </w:rPr>
              <w:instrText xml:space="preserve"> PAGEREF _Toc220588608 \h </w:instrText>
            </w:r>
            <w:r w:rsidRPr="00F60073">
              <w:rPr>
                <w:noProof/>
                <w:webHidden/>
                <w:sz w:val="24"/>
              </w:rPr>
            </w:r>
            <w:r w:rsidRPr="00F60073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25</w:t>
            </w:r>
            <w:r w:rsidRPr="00F60073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Pr="00AB33DE" w:rsidRDefault="00653559" w:rsidP="00AB33DE">
          <w:pPr>
            <w:pStyle w:val="Sumrio1"/>
            <w:tabs>
              <w:tab w:val="right" w:leader="dot" w:pos="16840"/>
            </w:tabs>
            <w:jc w:val="center"/>
            <w:rPr>
              <w:rFonts w:asciiTheme="minorHAnsi" w:eastAsiaTheme="minorEastAsia" w:hAnsiTheme="minorHAnsi" w:cstheme="minorBidi"/>
              <w:b w:val="0"/>
              <w:bCs w:val="0"/>
              <w:noProof/>
              <w:sz w:val="28"/>
              <w:szCs w:val="22"/>
              <w:lang w:val="pt-BR" w:eastAsia="pt-BR"/>
            </w:rPr>
          </w:pPr>
          <w:hyperlink w:anchor="_Toc220588609" w:history="1">
            <w:r w:rsidRPr="00AB33DE">
              <w:rPr>
                <w:rStyle w:val="Hyperlink"/>
                <w:rFonts w:cstheme="minorHAnsi"/>
                <w:noProof/>
                <w:sz w:val="24"/>
              </w:rPr>
              <w:t>Em síntese</w:t>
            </w:r>
            <w:r w:rsidRPr="00AB33DE">
              <w:rPr>
                <w:noProof/>
                <w:webHidden/>
                <w:sz w:val="24"/>
              </w:rPr>
              <w:tab/>
            </w:r>
            <w:r w:rsidRPr="00AB33DE">
              <w:rPr>
                <w:noProof/>
                <w:webHidden/>
                <w:sz w:val="24"/>
              </w:rPr>
              <w:fldChar w:fldCharType="begin"/>
            </w:r>
            <w:r w:rsidRPr="00AB33DE">
              <w:rPr>
                <w:noProof/>
                <w:webHidden/>
                <w:sz w:val="24"/>
              </w:rPr>
              <w:instrText xml:space="preserve"> PAGEREF _Toc220588609 \h </w:instrText>
            </w:r>
            <w:r w:rsidRPr="00AB33DE">
              <w:rPr>
                <w:noProof/>
                <w:webHidden/>
                <w:sz w:val="24"/>
              </w:rPr>
            </w:r>
            <w:r w:rsidRPr="00AB33DE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26</w:t>
            </w:r>
            <w:r w:rsidRPr="00AB33DE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Pr="00AB33DE" w:rsidRDefault="00653559" w:rsidP="00AB33DE">
          <w:pPr>
            <w:pStyle w:val="Sumrio1"/>
            <w:tabs>
              <w:tab w:val="right" w:leader="dot" w:pos="16840"/>
            </w:tabs>
            <w:jc w:val="center"/>
            <w:rPr>
              <w:rFonts w:asciiTheme="minorHAnsi" w:eastAsiaTheme="minorEastAsia" w:hAnsiTheme="minorHAnsi" w:cstheme="minorBidi"/>
              <w:b w:val="0"/>
              <w:bCs w:val="0"/>
              <w:noProof/>
              <w:sz w:val="28"/>
              <w:szCs w:val="22"/>
              <w:lang w:val="pt-BR" w:eastAsia="pt-BR"/>
            </w:rPr>
          </w:pPr>
          <w:hyperlink w:anchor="_Toc220588610" w:history="1">
            <w:r w:rsidRPr="00AB33DE">
              <w:rPr>
                <w:rStyle w:val="Hyperlink"/>
                <w:rFonts w:cstheme="minorHAnsi"/>
                <w:noProof/>
                <w:spacing w:val="-2"/>
                <w:sz w:val="24"/>
              </w:rPr>
              <w:t>CONSIDERAÇÕES FINAIS</w:t>
            </w:r>
            <w:r w:rsidRPr="00AB33DE">
              <w:rPr>
                <w:noProof/>
                <w:webHidden/>
                <w:sz w:val="24"/>
              </w:rPr>
              <w:tab/>
            </w:r>
            <w:r w:rsidRPr="00AB33DE">
              <w:rPr>
                <w:noProof/>
                <w:webHidden/>
                <w:sz w:val="24"/>
              </w:rPr>
              <w:fldChar w:fldCharType="begin"/>
            </w:r>
            <w:r w:rsidRPr="00AB33DE">
              <w:rPr>
                <w:noProof/>
                <w:webHidden/>
                <w:sz w:val="24"/>
              </w:rPr>
              <w:instrText xml:space="preserve"> PAGEREF _Toc220588610 \h </w:instrText>
            </w:r>
            <w:r w:rsidRPr="00AB33DE">
              <w:rPr>
                <w:noProof/>
                <w:webHidden/>
                <w:sz w:val="24"/>
              </w:rPr>
            </w:r>
            <w:r w:rsidRPr="00AB33DE">
              <w:rPr>
                <w:noProof/>
                <w:webHidden/>
                <w:sz w:val="24"/>
              </w:rPr>
              <w:fldChar w:fldCharType="separate"/>
            </w:r>
            <w:r w:rsidR="002A4AEC">
              <w:rPr>
                <w:noProof/>
                <w:webHidden/>
                <w:sz w:val="24"/>
              </w:rPr>
              <w:t>27</w:t>
            </w:r>
            <w:r w:rsidRPr="00AB33DE">
              <w:rPr>
                <w:noProof/>
                <w:webHidden/>
                <w:sz w:val="24"/>
              </w:rPr>
              <w:fldChar w:fldCharType="end"/>
            </w:r>
          </w:hyperlink>
        </w:p>
        <w:p w:rsidR="00653559" w:rsidRDefault="00653559" w:rsidP="00AB33DE">
          <w:pPr>
            <w:jc w:val="center"/>
          </w:pPr>
          <w:r w:rsidRPr="00AB33DE">
            <w:rPr>
              <w:b/>
              <w:bCs/>
              <w:sz w:val="28"/>
            </w:rPr>
            <w:fldChar w:fldCharType="end"/>
          </w:r>
        </w:p>
      </w:sdtContent>
    </w:sdt>
    <w:p w:rsidR="00653559" w:rsidRDefault="00653559" w:rsidP="00653559">
      <w:pPr>
        <w:widowControl/>
        <w:autoSpaceDE/>
        <w:autoSpaceDN/>
        <w:spacing w:after="160" w:line="259" w:lineRule="auto"/>
        <w:rPr>
          <w:color w:val="C45711"/>
          <w:u w:val="thick" w:color="C45711"/>
        </w:rPr>
      </w:pPr>
      <w:r>
        <w:rPr>
          <w:color w:val="C45711"/>
          <w:u w:val="thick" w:color="C45711"/>
        </w:rPr>
        <w:br w:type="page"/>
      </w:r>
      <w:bookmarkStart w:id="3" w:name="_Toc220588594"/>
    </w:p>
    <w:p w:rsidR="00165551" w:rsidRPr="006A186B" w:rsidRDefault="003F4921" w:rsidP="00653559">
      <w:pPr>
        <w:pStyle w:val="Ttulo1"/>
        <w:spacing w:before="490"/>
        <w:ind w:left="2268" w:right="1134" w:firstLine="0"/>
        <w:jc w:val="center"/>
        <w:rPr>
          <w:color w:val="ED7D31" w:themeColor="accent2"/>
          <w:u w:val="thick" w:color="C45711"/>
        </w:rPr>
      </w:pPr>
      <w:r w:rsidRPr="006A186B">
        <w:rPr>
          <w:color w:val="ED7D31" w:themeColor="accent2"/>
          <w:u w:val="thick" w:color="C45711"/>
        </w:rPr>
        <w:t>INTR</w:t>
      </w:r>
      <w:r w:rsidR="0043533E" w:rsidRPr="006A186B">
        <w:rPr>
          <w:color w:val="ED7D31" w:themeColor="accent2"/>
          <w:u w:val="thick" w:color="C45711"/>
        </w:rPr>
        <w:t>ODUÇÃO</w:t>
      </w:r>
      <w:bookmarkEnd w:id="3"/>
    </w:p>
    <w:p w:rsidR="003F4921" w:rsidRPr="003F4921" w:rsidRDefault="003F4921" w:rsidP="00653559">
      <w:pPr>
        <w:pStyle w:val="NormalWeb"/>
        <w:ind w:left="2268" w:right="1134"/>
        <w:jc w:val="both"/>
        <w:rPr>
          <w:rFonts w:asciiTheme="minorHAnsi" w:hAnsiTheme="minorHAnsi" w:cstheme="minorHAnsi"/>
          <w:sz w:val="28"/>
        </w:rPr>
      </w:pPr>
      <w:r w:rsidRPr="003F4921">
        <w:rPr>
          <w:rFonts w:asciiTheme="minorHAnsi" w:hAnsiTheme="minorHAnsi" w:cstheme="minorHAnsi"/>
          <w:sz w:val="28"/>
        </w:rPr>
        <w:t xml:space="preserve">O presente Relatório Bienal de Gestão apresenta o panorama das ações, </w:t>
      </w:r>
      <w:r w:rsidRPr="00891AFD">
        <w:rPr>
          <w:rFonts w:asciiTheme="minorHAnsi" w:hAnsiTheme="minorHAnsi" w:cstheme="minorHAnsi"/>
          <w:b/>
          <w:sz w:val="28"/>
        </w:rPr>
        <w:t xml:space="preserve">resultados e iniciativas desenvolvidas pela </w:t>
      </w:r>
      <w:proofErr w:type="spellStart"/>
      <w:r w:rsidRPr="00891AFD">
        <w:rPr>
          <w:rFonts w:asciiTheme="minorHAnsi" w:hAnsiTheme="minorHAnsi" w:cstheme="minorHAnsi"/>
          <w:b/>
          <w:sz w:val="28"/>
        </w:rPr>
        <w:t>Ouvidoria-Geral</w:t>
      </w:r>
      <w:proofErr w:type="spellEnd"/>
      <w:r w:rsidRPr="00891AFD">
        <w:rPr>
          <w:rFonts w:asciiTheme="minorHAnsi" w:hAnsiTheme="minorHAnsi" w:cstheme="minorHAnsi"/>
          <w:b/>
          <w:sz w:val="28"/>
        </w:rPr>
        <w:t xml:space="preserve"> do Tribunal de Justiça de Pernambuco</w:t>
      </w:r>
      <w:r w:rsidRPr="003F4921">
        <w:rPr>
          <w:rFonts w:asciiTheme="minorHAnsi" w:hAnsiTheme="minorHAnsi" w:cstheme="minorHAnsi"/>
          <w:sz w:val="28"/>
        </w:rPr>
        <w:t xml:space="preserve"> </w:t>
      </w:r>
      <w:r w:rsidRPr="00891AFD">
        <w:rPr>
          <w:rFonts w:asciiTheme="minorHAnsi" w:hAnsiTheme="minorHAnsi" w:cstheme="minorHAnsi"/>
          <w:b/>
          <w:sz w:val="28"/>
        </w:rPr>
        <w:t>no período da gestão 2024–2026,</w:t>
      </w:r>
      <w:r w:rsidRPr="003F4921">
        <w:rPr>
          <w:rFonts w:asciiTheme="minorHAnsi" w:hAnsiTheme="minorHAnsi" w:cstheme="minorHAnsi"/>
          <w:sz w:val="28"/>
        </w:rPr>
        <w:t xml:space="preserve"> </w:t>
      </w:r>
      <w:r w:rsidRPr="00891AFD">
        <w:rPr>
          <w:rFonts w:asciiTheme="minorHAnsi" w:hAnsiTheme="minorHAnsi" w:cstheme="minorHAnsi"/>
          <w:b/>
          <w:sz w:val="28"/>
        </w:rPr>
        <w:t>sob a condução do Exmo. Desembargador Waldemir Tavares de Albuquerque Filho, Ouvidor-Geral do TJPE.</w:t>
      </w:r>
      <w:r w:rsidRPr="003F4921">
        <w:rPr>
          <w:rFonts w:asciiTheme="minorHAnsi" w:hAnsiTheme="minorHAnsi" w:cstheme="minorHAnsi"/>
          <w:sz w:val="28"/>
        </w:rPr>
        <w:t xml:space="preserve"> O documento tem por finalidade conferir transparência às atividades desempenhadas, evidenciar o compromisso institucional com a escuta cidadã e registrar os avanços alcançados no fortalecimento dos canais de diálogo entre o Poder Judiciário e a sociedade.</w:t>
      </w:r>
    </w:p>
    <w:p w:rsidR="003F4921" w:rsidRPr="00891AFD" w:rsidRDefault="003F4921" w:rsidP="00653559">
      <w:pPr>
        <w:pStyle w:val="NormalWeb"/>
        <w:ind w:left="2268" w:right="1134"/>
        <w:jc w:val="both"/>
        <w:rPr>
          <w:rFonts w:asciiTheme="minorHAnsi" w:hAnsiTheme="minorHAnsi" w:cstheme="minorHAnsi"/>
          <w:b/>
          <w:sz w:val="28"/>
        </w:rPr>
      </w:pPr>
      <w:r w:rsidRPr="003F4921">
        <w:rPr>
          <w:rFonts w:asciiTheme="minorHAnsi" w:hAnsiTheme="minorHAnsi" w:cstheme="minorHAnsi"/>
          <w:sz w:val="28"/>
        </w:rPr>
        <w:t xml:space="preserve">Ao longo deste relatório, são apresentados, inicialmente, </w:t>
      </w:r>
      <w:r w:rsidRPr="00891AFD">
        <w:rPr>
          <w:rFonts w:asciiTheme="minorHAnsi" w:hAnsiTheme="minorHAnsi" w:cstheme="minorHAnsi"/>
          <w:b/>
          <w:sz w:val="28"/>
        </w:rPr>
        <w:t xml:space="preserve">os indicadores quantitativos que refletem o volume de manifestações registradas no sistema eletrônico da </w:t>
      </w:r>
      <w:proofErr w:type="spellStart"/>
      <w:r w:rsidRPr="00891AFD">
        <w:rPr>
          <w:rFonts w:asciiTheme="minorHAnsi" w:hAnsiTheme="minorHAnsi" w:cstheme="minorHAnsi"/>
          <w:b/>
          <w:sz w:val="28"/>
        </w:rPr>
        <w:t>Ouvidoria-Geral</w:t>
      </w:r>
      <w:proofErr w:type="spellEnd"/>
      <w:r w:rsidRPr="00891AFD">
        <w:rPr>
          <w:rFonts w:asciiTheme="minorHAnsi" w:hAnsiTheme="minorHAnsi" w:cstheme="minorHAnsi"/>
          <w:b/>
          <w:sz w:val="28"/>
        </w:rPr>
        <w:t>, bem como os atendimentos realizados por meio telefônico, digital e presencial, classificados segundo a natureza das demandas</w:t>
      </w:r>
      <w:r w:rsidRPr="003F4921">
        <w:rPr>
          <w:rFonts w:asciiTheme="minorHAnsi" w:hAnsiTheme="minorHAnsi" w:cstheme="minorHAnsi"/>
          <w:sz w:val="28"/>
        </w:rPr>
        <w:t xml:space="preserve"> — pedidos de agilização processual, solicitações de informações, reclamações, denúncias, elogios, sugestões, pedidos de acesso à informação e demandas relativas à Lei Geral de Proteção de Dados. </w:t>
      </w:r>
      <w:r w:rsidRPr="00891AFD">
        <w:rPr>
          <w:rFonts w:asciiTheme="minorHAnsi" w:hAnsiTheme="minorHAnsi" w:cstheme="minorHAnsi"/>
          <w:b/>
          <w:sz w:val="28"/>
        </w:rPr>
        <w:t>Esses dados demonstram não apenas a intensidade da procura pelos serviços da Ouvidoria, mas, sobretudo, a confiança da população no canal institucional de escuta do Tribunal.</w:t>
      </w:r>
    </w:p>
    <w:p w:rsidR="003F4921" w:rsidRPr="003F4921" w:rsidRDefault="003F4921" w:rsidP="00653559">
      <w:pPr>
        <w:pStyle w:val="NormalWeb"/>
        <w:ind w:left="2268" w:right="1134"/>
        <w:jc w:val="both"/>
        <w:rPr>
          <w:rFonts w:asciiTheme="minorHAnsi" w:hAnsiTheme="minorHAnsi" w:cstheme="minorHAnsi"/>
          <w:sz w:val="28"/>
        </w:rPr>
      </w:pPr>
      <w:r w:rsidRPr="003F4921">
        <w:rPr>
          <w:rFonts w:asciiTheme="minorHAnsi" w:hAnsiTheme="minorHAnsi" w:cstheme="minorHAnsi"/>
          <w:sz w:val="28"/>
        </w:rPr>
        <w:t xml:space="preserve">Na sequência, </w:t>
      </w:r>
      <w:r w:rsidRPr="00891AFD">
        <w:rPr>
          <w:rFonts w:asciiTheme="minorHAnsi" w:hAnsiTheme="minorHAnsi" w:cstheme="minorHAnsi"/>
          <w:b/>
          <w:sz w:val="28"/>
        </w:rPr>
        <w:t>o relatório reúne os principais fatos que marcaram a gestão, destacando projetos inovadores, ações de interiorização da Ouvidoria, participação em encontros nacionais, fortalecimento de parcerias interinstitucionais, criação de estruturas especializadas, valorização da memória institucional e reconhecimento de trajetórias que contribuíram para o aprimoramento da função ouvidora</w:t>
      </w:r>
      <w:r w:rsidRPr="003F4921">
        <w:rPr>
          <w:rFonts w:asciiTheme="minorHAnsi" w:hAnsiTheme="minorHAnsi" w:cstheme="minorHAnsi"/>
          <w:sz w:val="28"/>
        </w:rPr>
        <w:t xml:space="preserve">. Tais iniciativas evidenciam o empenho permanente da </w:t>
      </w:r>
      <w:proofErr w:type="spellStart"/>
      <w:r w:rsidRPr="003F4921">
        <w:rPr>
          <w:rFonts w:asciiTheme="minorHAnsi" w:hAnsiTheme="minorHAnsi" w:cstheme="minorHAnsi"/>
          <w:sz w:val="28"/>
        </w:rPr>
        <w:t>Ouvidoria-Geral</w:t>
      </w:r>
      <w:proofErr w:type="spellEnd"/>
      <w:r w:rsidRPr="003F4921">
        <w:rPr>
          <w:rFonts w:asciiTheme="minorHAnsi" w:hAnsiTheme="minorHAnsi" w:cstheme="minorHAnsi"/>
          <w:sz w:val="28"/>
        </w:rPr>
        <w:t xml:space="preserve"> em modernizar seus instrumentos de atendimento, ampliar o acesso à Justiça e qualificar a comunicação entre o Tribunal e o cidadão.</w:t>
      </w:r>
    </w:p>
    <w:p w:rsidR="00653559" w:rsidRPr="00891AFD" w:rsidRDefault="003F4921" w:rsidP="00FE4941">
      <w:pPr>
        <w:pStyle w:val="NormalWeb"/>
        <w:ind w:left="2268" w:right="1134"/>
        <w:jc w:val="both"/>
        <w:rPr>
          <w:rFonts w:asciiTheme="minorHAnsi" w:hAnsiTheme="minorHAnsi" w:cstheme="minorHAnsi"/>
          <w:b/>
          <w:sz w:val="28"/>
        </w:rPr>
      </w:pPr>
      <w:r w:rsidRPr="003F4921">
        <w:rPr>
          <w:rFonts w:asciiTheme="minorHAnsi" w:hAnsiTheme="minorHAnsi" w:cstheme="minorHAnsi"/>
          <w:sz w:val="28"/>
        </w:rPr>
        <w:t xml:space="preserve">Dessa forma, o presente documento consolida não apenas resultados e números, mas, sobretudo, a </w:t>
      </w:r>
      <w:r w:rsidRPr="00891AFD">
        <w:rPr>
          <w:rFonts w:asciiTheme="minorHAnsi" w:hAnsiTheme="minorHAnsi" w:cstheme="minorHAnsi"/>
          <w:b/>
          <w:sz w:val="28"/>
        </w:rPr>
        <w:t xml:space="preserve">materialização de uma política institucional pautada na transparência, na participação social, na promoção dos direitos humanos e na melhoria contínua da prestação jurisdicional, reafirmando o papel da </w:t>
      </w:r>
      <w:proofErr w:type="spellStart"/>
      <w:r w:rsidRPr="00891AFD">
        <w:rPr>
          <w:rFonts w:asciiTheme="minorHAnsi" w:hAnsiTheme="minorHAnsi" w:cstheme="minorHAnsi"/>
          <w:b/>
          <w:sz w:val="28"/>
        </w:rPr>
        <w:t>Ouvidoria-Geral</w:t>
      </w:r>
      <w:proofErr w:type="spellEnd"/>
      <w:r w:rsidRPr="00891AFD">
        <w:rPr>
          <w:rFonts w:asciiTheme="minorHAnsi" w:hAnsiTheme="minorHAnsi" w:cstheme="minorHAnsi"/>
          <w:b/>
          <w:sz w:val="28"/>
        </w:rPr>
        <w:t xml:space="preserve"> como elo essencial entre o Tribunal de Justiça de Pernambuco e a sociedade pernambucana.</w:t>
      </w:r>
    </w:p>
    <w:p w:rsidR="0043533E" w:rsidRPr="006A186B" w:rsidRDefault="0043533E" w:rsidP="00653559">
      <w:pPr>
        <w:pStyle w:val="Ttulo1"/>
        <w:spacing w:before="490"/>
        <w:ind w:left="2268" w:right="1134" w:firstLine="0"/>
        <w:jc w:val="center"/>
        <w:rPr>
          <w:color w:val="ED7D31" w:themeColor="accent2"/>
          <w:u w:val="thick" w:color="C45711"/>
        </w:rPr>
      </w:pPr>
      <w:bookmarkStart w:id="4" w:name="_Toc220588595"/>
      <w:r w:rsidRPr="006A186B">
        <w:rPr>
          <w:color w:val="ED7D31" w:themeColor="accent2"/>
          <w:u w:val="thick" w:color="C45711"/>
        </w:rPr>
        <w:t>APRESENTAÇÃO</w:t>
      </w:r>
      <w:bookmarkEnd w:id="4"/>
    </w:p>
    <w:p w:rsidR="0043533E" w:rsidRDefault="0043533E" w:rsidP="00653559">
      <w:pPr>
        <w:widowControl/>
        <w:autoSpaceDE/>
        <w:autoSpaceDN/>
        <w:spacing w:before="100" w:beforeAutospacing="1" w:after="100" w:afterAutospacing="1"/>
        <w:ind w:left="2268" w:right="1134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r w:rsidRPr="00C44676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 xml:space="preserve">A </w:t>
      </w:r>
      <w:proofErr w:type="spellStart"/>
      <w:r w:rsidRPr="00C44676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t>Ouvidoria-Geral</w:t>
      </w:r>
      <w:proofErr w:type="spellEnd"/>
      <w:r w:rsidRPr="00C44676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t xml:space="preserve"> do Tribunal de Justiça de Pernambuco (TJPE)</w:t>
      </w:r>
      <w:r w:rsidRPr="00C44676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 xml:space="preserve"> constitui o principal canal de comunicação entre o Poder Judiciário estadual e a sociedade, com a finalidade de </w:t>
      </w:r>
      <w:r w:rsidRPr="00C44676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t>promover a participação popular, orientar, receber e encaminhar manifestações dos usuários dos serviços judiciais</w:t>
      </w:r>
      <w:r w:rsidRPr="00C44676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, incluindo reclamações, denúncias, sugestões, elogios e pedidos de acesso à informação, bem como colaborar para o aperfeiçoamento da gestão e da prestação jurisdicional no âmbito do Tribunal. Sua atuação está alinhada à missão de fortalecer a transparência, a humanização do atendimento e o diálogo institucional</w:t>
      </w:r>
      <w:r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.</w:t>
      </w:r>
      <w:r w:rsidR="00D52FEB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 xml:space="preserve"> </w:t>
      </w:r>
    </w:p>
    <w:p w:rsidR="0043533E" w:rsidRPr="00C44676" w:rsidRDefault="0043533E" w:rsidP="00653559">
      <w:pPr>
        <w:widowControl/>
        <w:autoSpaceDE/>
        <w:autoSpaceDN/>
        <w:spacing w:before="100" w:beforeAutospacing="1" w:after="100" w:afterAutospacing="1"/>
        <w:ind w:left="2268" w:right="1134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r w:rsidRPr="00C44676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 xml:space="preserve">No biênio de gestão atual (2024–2026), a Ouvidoria é conduzida pelo </w:t>
      </w:r>
      <w:r w:rsidRPr="00C44676">
        <w:rPr>
          <w:rFonts w:asciiTheme="minorHAnsi" w:eastAsia="Times New Roman" w:hAnsiTheme="minorHAnsi" w:cstheme="minorHAnsi"/>
          <w:b/>
          <w:bCs/>
          <w:color w:val="4472C4" w:themeColor="accent5"/>
          <w:sz w:val="28"/>
          <w:szCs w:val="24"/>
          <w:u w:val="single"/>
          <w:lang w:val="pt-BR" w:eastAsia="pt-BR"/>
        </w:rPr>
        <w:t>Ouvidor-Geral, Desembargador Waldemir Tavares de Albuquerque Filho</w:t>
      </w:r>
      <w:r w:rsidRPr="00C44676">
        <w:rPr>
          <w:rFonts w:asciiTheme="minorHAnsi" w:eastAsia="Times New Roman" w:hAnsiTheme="minorHAnsi" w:cstheme="minorHAnsi"/>
          <w:color w:val="4472C4" w:themeColor="accent5"/>
          <w:sz w:val="28"/>
          <w:szCs w:val="24"/>
          <w:lang w:val="pt-BR" w:eastAsia="pt-BR"/>
        </w:rPr>
        <w:t>,</w:t>
      </w:r>
      <w:r w:rsidRPr="00C44676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 xml:space="preserve"> cujo trabalho tem se destacado pela ampliação da escuta qualificada, pela interlocução com os diversos segmentos da sociedade e pela integração das políticas institucionais de atendimento e transparência.</w:t>
      </w:r>
    </w:p>
    <w:p w:rsidR="0043533E" w:rsidRPr="00C44676" w:rsidRDefault="0043533E" w:rsidP="00653559">
      <w:pPr>
        <w:widowControl/>
        <w:autoSpaceDE/>
        <w:autoSpaceDN/>
        <w:spacing w:before="100" w:beforeAutospacing="1" w:after="100" w:afterAutospacing="1"/>
        <w:ind w:left="2268" w:right="1134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r w:rsidRPr="00C44676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Para facilitar o acesso e o registro de manifestações, a Ouvidoria dispõe de múltiplos canais de contato:</w:t>
      </w:r>
    </w:p>
    <w:p w:rsidR="0043533E" w:rsidRPr="00C44676" w:rsidRDefault="0043533E" w:rsidP="00653559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2268" w:right="1134" w:firstLine="0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proofErr w:type="spellStart"/>
      <w:r w:rsidRPr="00C44676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t>Tele-Ouvidoria</w:t>
      </w:r>
      <w:proofErr w:type="spellEnd"/>
      <w:r w:rsidRPr="00C44676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: 0800 081 52 51 ou 159 (</w:t>
      </w:r>
      <w:proofErr w:type="spellStart"/>
      <w:r w:rsidRPr="00C44676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tridígito</w:t>
      </w:r>
      <w:proofErr w:type="spellEnd"/>
      <w:r w:rsidRPr="00C44676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), de segunda a sexta-feira, das 8h às 17h;</w:t>
      </w:r>
    </w:p>
    <w:p w:rsidR="0043533E" w:rsidRPr="00C44676" w:rsidRDefault="0043533E" w:rsidP="00653559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2268" w:right="1134" w:firstLine="0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r w:rsidRPr="00C44676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t>Balcão Virtual</w:t>
      </w:r>
      <w:r w:rsidRPr="00C44676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 xml:space="preserve"> por videoconferência, disponível no portal do TJPE;</w:t>
      </w:r>
    </w:p>
    <w:p w:rsidR="0043533E" w:rsidRPr="00C44676" w:rsidRDefault="0043533E" w:rsidP="00653559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2268" w:right="1134" w:firstLine="0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r w:rsidRPr="00C44676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t>WhatsApp</w:t>
      </w:r>
      <w:r w:rsidRPr="00C44676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: (81) 9 9159-5727;</w:t>
      </w:r>
    </w:p>
    <w:p w:rsidR="0043533E" w:rsidRPr="00EA0CD2" w:rsidRDefault="0043533E" w:rsidP="00653559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59" w:lineRule="auto"/>
        <w:ind w:left="2268" w:right="1134" w:firstLine="0"/>
      </w:pPr>
      <w:r w:rsidRPr="00C44676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t>Atendimento presencial/SIC</w:t>
      </w:r>
      <w:r w:rsidRPr="00C44676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: Rua Dr. Moacir Baracho, 207 – térreo, Santo Antônio, Recife/P</w:t>
      </w:r>
      <w:r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E, CEP 50010-050, das 8h às 16h.</w:t>
      </w:r>
    </w:p>
    <w:p w:rsidR="00EA0CD2" w:rsidRPr="0043533E" w:rsidRDefault="00EA0CD2" w:rsidP="00EA0CD2">
      <w:pPr>
        <w:widowControl/>
        <w:autoSpaceDE/>
        <w:autoSpaceDN/>
        <w:spacing w:before="100" w:beforeAutospacing="1" w:after="100" w:afterAutospacing="1" w:line="259" w:lineRule="auto"/>
        <w:ind w:left="2268" w:right="2108"/>
      </w:pPr>
    </w:p>
    <w:p w:rsidR="0043533E" w:rsidRDefault="0043533E" w:rsidP="00105605">
      <w:pPr>
        <w:widowControl/>
        <w:autoSpaceDE/>
        <w:autoSpaceDN/>
        <w:spacing w:before="100" w:beforeAutospacing="1" w:after="100" w:afterAutospacing="1" w:line="259" w:lineRule="auto"/>
        <w:ind w:right="2108"/>
        <w:rPr>
          <w:rFonts w:asciiTheme="minorHAnsi" w:eastAsia="Times New Roman" w:hAnsiTheme="minorHAnsi" w:cstheme="minorHAnsi"/>
          <w:b/>
          <w:bCs/>
          <w:sz w:val="40"/>
          <w:szCs w:val="40"/>
          <w:lang w:val="pt-BR" w:eastAsia="pt-BR"/>
        </w:rPr>
      </w:pPr>
    </w:p>
    <w:p w:rsidR="00375FB2" w:rsidRPr="0043533E" w:rsidRDefault="00375FB2" w:rsidP="00105605">
      <w:pPr>
        <w:widowControl/>
        <w:autoSpaceDE/>
        <w:autoSpaceDN/>
        <w:spacing w:before="100" w:beforeAutospacing="1" w:after="100" w:afterAutospacing="1" w:line="259" w:lineRule="auto"/>
        <w:ind w:right="2108"/>
        <w:rPr>
          <w:rFonts w:asciiTheme="minorHAnsi" w:eastAsia="Times New Roman" w:hAnsiTheme="minorHAnsi" w:cstheme="minorHAnsi"/>
          <w:b/>
          <w:bCs/>
          <w:sz w:val="40"/>
          <w:szCs w:val="40"/>
          <w:lang w:val="pt-BR" w:eastAsia="pt-BR"/>
        </w:rPr>
      </w:pPr>
    </w:p>
    <w:p w:rsidR="0043533E" w:rsidRPr="00447EA8" w:rsidRDefault="0043533E" w:rsidP="00653559">
      <w:pPr>
        <w:pStyle w:val="PargrafodaLista"/>
        <w:widowControl/>
        <w:numPr>
          <w:ilvl w:val="1"/>
          <w:numId w:val="6"/>
        </w:numPr>
        <w:autoSpaceDE/>
        <w:autoSpaceDN/>
        <w:spacing w:before="100" w:beforeAutospacing="1" w:after="100" w:afterAutospacing="1" w:line="259" w:lineRule="auto"/>
        <w:ind w:left="2268" w:right="1134" w:firstLine="0"/>
        <w:rPr>
          <w:color w:val="ED7D31" w:themeColor="accent2"/>
        </w:rPr>
      </w:pPr>
      <w:r w:rsidRPr="00447EA8">
        <w:rPr>
          <w:rFonts w:asciiTheme="minorHAnsi" w:eastAsia="Times New Roman" w:hAnsiTheme="minorHAnsi" w:cstheme="minorHAnsi"/>
          <w:b/>
          <w:color w:val="ED7D31" w:themeColor="accent2"/>
          <w:sz w:val="40"/>
          <w:szCs w:val="40"/>
          <w:lang w:val="pt-BR" w:eastAsia="pt-BR"/>
        </w:rPr>
        <w:t>OG EM NÚMEROS: Biênio 2024 – 2026</w:t>
      </w:r>
    </w:p>
    <w:p w:rsidR="0043533E" w:rsidRPr="0043533E" w:rsidRDefault="0043533E" w:rsidP="00653559">
      <w:pPr>
        <w:pStyle w:val="PargrafodaLista"/>
        <w:widowControl/>
        <w:numPr>
          <w:ilvl w:val="1"/>
          <w:numId w:val="7"/>
        </w:numPr>
        <w:autoSpaceDE/>
        <w:autoSpaceDN/>
        <w:spacing w:before="100" w:beforeAutospacing="1" w:after="100" w:afterAutospacing="1" w:line="259" w:lineRule="auto"/>
        <w:ind w:left="2268" w:right="1134" w:firstLine="0"/>
        <w:rPr>
          <w:u w:val="single"/>
        </w:rPr>
      </w:pPr>
      <w:r w:rsidRPr="0043533E">
        <w:rPr>
          <w:rFonts w:asciiTheme="minorHAnsi" w:eastAsia="Times New Roman" w:hAnsiTheme="minorHAnsi" w:cstheme="minorHAnsi"/>
          <w:b/>
          <w:sz w:val="36"/>
          <w:szCs w:val="40"/>
          <w:u w:val="single"/>
          <w:lang w:val="pt-BR" w:eastAsia="pt-BR"/>
        </w:rPr>
        <w:t xml:space="preserve">Manifestações registradas no sistema eletrônico da </w:t>
      </w:r>
      <w:proofErr w:type="spellStart"/>
      <w:r w:rsidRPr="0043533E">
        <w:rPr>
          <w:rFonts w:asciiTheme="minorHAnsi" w:eastAsia="Times New Roman" w:hAnsiTheme="minorHAnsi" w:cstheme="minorHAnsi"/>
          <w:b/>
          <w:sz w:val="36"/>
          <w:szCs w:val="40"/>
          <w:u w:val="single"/>
          <w:lang w:val="pt-BR" w:eastAsia="pt-BR"/>
        </w:rPr>
        <w:t>Ouvidoria-Geral</w:t>
      </w:r>
      <w:proofErr w:type="spellEnd"/>
      <w:r w:rsidR="00B56EC1">
        <w:rPr>
          <w:rFonts w:asciiTheme="minorHAnsi" w:eastAsia="Times New Roman" w:hAnsiTheme="minorHAnsi" w:cstheme="minorHAnsi"/>
          <w:b/>
          <w:sz w:val="36"/>
          <w:szCs w:val="40"/>
          <w:u w:val="single"/>
          <w:lang w:val="pt-BR" w:eastAsia="pt-BR"/>
        </w:rPr>
        <w:t>/TJPE</w:t>
      </w:r>
    </w:p>
    <w:p w:rsidR="00D2135C" w:rsidRDefault="00D2135C" w:rsidP="00653559">
      <w:pPr>
        <w:pStyle w:val="PargrafodaLista"/>
        <w:widowControl/>
        <w:autoSpaceDE/>
        <w:autoSpaceDN/>
        <w:spacing w:before="100" w:beforeAutospacing="1" w:after="100" w:afterAutospacing="1"/>
        <w:ind w:left="2268" w:right="1134" w:firstLine="0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r w:rsidRPr="00D2135C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 xml:space="preserve">No período referente ao biênio 2024–2026, a </w:t>
      </w:r>
      <w:proofErr w:type="spellStart"/>
      <w:r w:rsidRPr="00D2135C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Ouvidoria-Geral</w:t>
      </w:r>
      <w:proofErr w:type="spellEnd"/>
      <w:r w:rsidRPr="00D2135C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 xml:space="preserve"> do Tribunal de Justiça de Pernambuco registrou expressivo volume de manifestações no Sistema Eletrônico da Ouvidoria (OG), evidenciando a crescente utilização dos canais institucionais de escuta e participação cidadã.</w:t>
      </w:r>
    </w:p>
    <w:p w:rsidR="00D2135C" w:rsidRPr="00D2135C" w:rsidRDefault="00D2135C" w:rsidP="00D2135C">
      <w:pPr>
        <w:pStyle w:val="PargrafodaLista"/>
        <w:widowControl/>
        <w:autoSpaceDE/>
        <w:autoSpaceDN/>
        <w:spacing w:before="100" w:beforeAutospacing="1" w:after="100" w:afterAutospacing="1"/>
        <w:ind w:left="2268" w:right="2108" w:firstLine="0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r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................................................................................................................................................</w:t>
      </w:r>
    </w:p>
    <w:p w:rsidR="00D2135C" w:rsidRPr="00D2135C" w:rsidRDefault="00D2135C" w:rsidP="00D2135C">
      <w:pPr>
        <w:pStyle w:val="PargrafodaLista"/>
        <w:widowControl/>
        <w:autoSpaceDE/>
        <w:autoSpaceDN/>
        <w:spacing w:before="100" w:beforeAutospacing="1" w:after="100" w:afterAutospacing="1"/>
        <w:ind w:left="2268" w:firstLine="0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r w:rsidRPr="00D2135C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t xml:space="preserve">Total de manifestações registradas no Sistema </w:t>
      </w:r>
      <w:r w:rsidR="00314FC4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t xml:space="preserve">Eletrônico </w:t>
      </w:r>
      <w:r w:rsidRPr="00D2135C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t>OG</w:t>
      </w:r>
    </w:p>
    <w:tbl>
      <w:tblPr>
        <w:tblStyle w:val="TabeladeLista4"/>
        <w:tblW w:w="8647" w:type="dxa"/>
        <w:tblInd w:w="2263" w:type="dxa"/>
        <w:tblLook w:val="04A0" w:firstRow="1" w:lastRow="0" w:firstColumn="1" w:lastColumn="0" w:noHBand="0" w:noVBand="1"/>
      </w:tblPr>
      <w:tblGrid>
        <w:gridCol w:w="3836"/>
        <w:gridCol w:w="2701"/>
        <w:gridCol w:w="2110"/>
      </w:tblGrid>
      <w:tr w:rsidR="006A6C8E" w:rsidRPr="00D2135C" w:rsidTr="001E7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6" w:type="dxa"/>
            <w:hideMark/>
          </w:tcPr>
          <w:p w:rsidR="00D2135C" w:rsidRPr="006A186B" w:rsidRDefault="00D2135C" w:rsidP="006A6C8E">
            <w:pPr>
              <w:widowControl/>
              <w:autoSpaceDE/>
              <w:autoSpaceDN/>
              <w:ind w:right="246"/>
              <w:rPr>
                <w:rFonts w:asciiTheme="minorHAnsi" w:eastAsia="Times New Roman" w:hAnsiTheme="minorHAnsi" w:cstheme="minorHAnsi"/>
                <w:bCs w:val="0"/>
                <w:sz w:val="28"/>
                <w:szCs w:val="24"/>
                <w:lang w:val="pt-BR" w:eastAsia="pt-BR"/>
              </w:rPr>
            </w:pPr>
            <w:r w:rsidRPr="006A186B">
              <w:rPr>
                <w:rFonts w:asciiTheme="minorHAnsi" w:eastAsia="Times New Roman" w:hAnsiTheme="minorHAnsi" w:cstheme="minorHAnsi"/>
                <w:bCs w:val="0"/>
                <w:sz w:val="28"/>
                <w:szCs w:val="24"/>
                <w:lang w:val="pt-BR" w:eastAsia="pt-BR"/>
              </w:rPr>
              <w:t>Situação das manifestações</w:t>
            </w:r>
          </w:p>
        </w:tc>
        <w:tc>
          <w:tcPr>
            <w:tcW w:w="2701" w:type="dxa"/>
            <w:hideMark/>
          </w:tcPr>
          <w:p w:rsidR="00D2135C" w:rsidRPr="006A186B" w:rsidRDefault="00D2135C" w:rsidP="00D2135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sz w:val="28"/>
                <w:szCs w:val="24"/>
                <w:lang w:val="pt-BR" w:eastAsia="pt-BR"/>
              </w:rPr>
            </w:pPr>
            <w:r w:rsidRPr="006A186B">
              <w:rPr>
                <w:rFonts w:asciiTheme="minorHAnsi" w:eastAsia="Times New Roman" w:hAnsiTheme="minorHAnsi" w:cstheme="minorHAnsi"/>
                <w:bCs w:val="0"/>
                <w:sz w:val="28"/>
                <w:szCs w:val="24"/>
                <w:lang w:val="pt-BR" w:eastAsia="pt-BR"/>
              </w:rPr>
              <w:t>Quantitativo</w:t>
            </w:r>
          </w:p>
        </w:tc>
        <w:tc>
          <w:tcPr>
            <w:tcW w:w="2110" w:type="dxa"/>
            <w:hideMark/>
          </w:tcPr>
          <w:p w:rsidR="00D2135C" w:rsidRPr="006A186B" w:rsidRDefault="00D2135C" w:rsidP="00D2135C">
            <w:pPr>
              <w:widowControl/>
              <w:autoSpaceDE/>
              <w:autoSpaceDN/>
              <w:ind w:left="16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sz w:val="28"/>
                <w:szCs w:val="24"/>
                <w:lang w:val="pt-BR" w:eastAsia="pt-BR"/>
              </w:rPr>
            </w:pPr>
            <w:r w:rsidRPr="006A186B">
              <w:rPr>
                <w:rFonts w:asciiTheme="minorHAnsi" w:eastAsia="Times New Roman" w:hAnsiTheme="minorHAnsi" w:cstheme="minorHAnsi"/>
                <w:bCs w:val="0"/>
                <w:sz w:val="28"/>
                <w:szCs w:val="24"/>
                <w:lang w:val="pt-BR" w:eastAsia="pt-BR"/>
              </w:rPr>
              <w:t>Percentual</w:t>
            </w:r>
          </w:p>
        </w:tc>
      </w:tr>
      <w:tr w:rsidR="006A6C8E" w:rsidRPr="00D2135C" w:rsidTr="001E7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6" w:type="dxa"/>
            <w:hideMark/>
          </w:tcPr>
          <w:p w:rsidR="00D2135C" w:rsidRPr="00D2135C" w:rsidRDefault="00D2135C" w:rsidP="006A6C8E">
            <w:pPr>
              <w:widowControl/>
              <w:autoSpaceDE/>
              <w:autoSpaceDN/>
              <w:ind w:right="246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  <w:t>Manifestações concluídas</w:t>
            </w:r>
          </w:p>
        </w:tc>
        <w:tc>
          <w:tcPr>
            <w:tcW w:w="2701" w:type="dxa"/>
            <w:hideMark/>
          </w:tcPr>
          <w:p w:rsidR="00D2135C" w:rsidRPr="00D2135C" w:rsidRDefault="00D2135C" w:rsidP="00D2135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  <w:t>21.670</w:t>
            </w:r>
          </w:p>
        </w:tc>
        <w:tc>
          <w:tcPr>
            <w:tcW w:w="2110" w:type="dxa"/>
            <w:hideMark/>
          </w:tcPr>
          <w:p w:rsidR="00D2135C" w:rsidRPr="00D2135C" w:rsidRDefault="00D2135C" w:rsidP="00D2135C">
            <w:pPr>
              <w:widowControl/>
              <w:autoSpaceDE/>
              <w:autoSpaceDN/>
              <w:ind w:left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  <w:t>98%</w:t>
            </w:r>
          </w:p>
        </w:tc>
      </w:tr>
      <w:tr w:rsidR="006A6C8E" w:rsidRPr="00D2135C" w:rsidTr="001E7E76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6" w:type="dxa"/>
            <w:hideMark/>
          </w:tcPr>
          <w:p w:rsidR="00D2135C" w:rsidRPr="00D2135C" w:rsidRDefault="00D2135C" w:rsidP="006A6C8E">
            <w:pPr>
              <w:widowControl/>
              <w:autoSpaceDE/>
              <w:autoSpaceDN/>
              <w:ind w:right="246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  <w:t>Manifestações em andamento</w:t>
            </w:r>
          </w:p>
        </w:tc>
        <w:tc>
          <w:tcPr>
            <w:tcW w:w="2701" w:type="dxa"/>
            <w:hideMark/>
          </w:tcPr>
          <w:p w:rsidR="00D2135C" w:rsidRPr="00D2135C" w:rsidRDefault="00D2135C" w:rsidP="00D2135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  <w:t>492</w:t>
            </w:r>
          </w:p>
        </w:tc>
        <w:tc>
          <w:tcPr>
            <w:tcW w:w="2110" w:type="dxa"/>
            <w:hideMark/>
          </w:tcPr>
          <w:p w:rsidR="00D2135C" w:rsidRPr="00D2135C" w:rsidRDefault="00D2135C" w:rsidP="00D2135C">
            <w:pPr>
              <w:widowControl/>
              <w:autoSpaceDE/>
              <w:autoSpaceDN/>
              <w:ind w:left="1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  <w:t>2%</w:t>
            </w:r>
          </w:p>
        </w:tc>
      </w:tr>
      <w:tr w:rsidR="006A6C8E" w:rsidRPr="00D2135C" w:rsidTr="001E7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6" w:type="dxa"/>
            <w:hideMark/>
          </w:tcPr>
          <w:p w:rsidR="00D2135C" w:rsidRPr="00D2135C" w:rsidRDefault="00D2135C" w:rsidP="006A6C8E">
            <w:pPr>
              <w:widowControl/>
              <w:autoSpaceDE/>
              <w:autoSpaceDN/>
              <w:ind w:right="246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4"/>
                <w:lang w:val="pt-BR" w:eastAsia="pt-BR"/>
              </w:rPr>
              <w:t>Total geral</w:t>
            </w:r>
          </w:p>
        </w:tc>
        <w:tc>
          <w:tcPr>
            <w:tcW w:w="2701" w:type="dxa"/>
            <w:hideMark/>
          </w:tcPr>
          <w:p w:rsidR="00D2135C" w:rsidRPr="00D2135C" w:rsidRDefault="00D2135C" w:rsidP="00D2135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b/>
                <w:bCs/>
                <w:sz w:val="28"/>
                <w:szCs w:val="24"/>
                <w:lang w:val="pt-BR" w:eastAsia="pt-BR"/>
              </w:rPr>
              <w:t>22.162</w:t>
            </w:r>
          </w:p>
        </w:tc>
        <w:tc>
          <w:tcPr>
            <w:tcW w:w="2110" w:type="dxa"/>
            <w:hideMark/>
          </w:tcPr>
          <w:p w:rsidR="00D2135C" w:rsidRPr="00D2135C" w:rsidRDefault="00D2135C" w:rsidP="00D2135C">
            <w:pPr>
              <w:widowControl/>
              <w:autoSpaceDE/>
              <w:autoSpaceDN/>
              <w:ind w:left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b/>
                <w:bCs/>
                <w:sz w:val="28"/>
                <w:szCs w:val="24"/>
                <w:lang w:val="pt-BR" w:eastAsia="pt-BR"/>
              </w:rPr>
              <w:t>100%</w:t>
            </w:r>
          </w:p>
        </w:tc>
      </w:tr>
    </w:tbl>
    <w:p w:rsidR="000F5CCC" w:rsidRDefault="00D2135C" w:rsidP="000E17C6">
      <w:pPr>
        <w:pStyle w:val="PargrafodaLista"/>
        <w:widowControl/>
        <w:autoSpaceDE/>
        <w:autoSpaceDN/>
        <w:spacing w:before="100" w:beforeAutospacing="1" w:after="100" w:afterAutospacing="1"/>
        <w:ind w:left="2410" w:firstLine="0"/>
        <w:rPr>
          <w:rFonts w:asciiTheme="minorHAnsi" w:eastAsia="Times New Roman" w:hAnsiTheme="minorHAnsi" w:cstheme="minorHAnsi"/>
          <w:i/>
          <w:iCs/>
          <w:szCs w:val="24"/>
          <w:lang w:val="pt-BR" w:eastAsia="pt-BR"/>
        </w:rPr>
      </w:pPr>
      <w:r w:rsidRPr="00D2135C">
        <w:rPr>
          <w:rFonts w:asciiTheme="minorHAnsi" w:eastAsia="Times New Roman" w:hAnsiTheme="minorHAnsi" w:cstheme="minorHAnsi"/>
          <w:i/>
          <w:iCs/>
          <w:szCs w:val="24"/>
          <w:lang w:val="pt-BR" w:eastAsia="pt-BR"/>
        </w:rPr>
        <w:t>Data-base: 26 de janeiro de 2026.</w:t>
      </w:r>
    </w:p>
    <w:p w:rsidR="00105605" w:rsidRDefault="00105605" w:rsidP="00105605">
      <w:pPr>
        <w:pStyle w:val="PargrafodaLista"/>
        <w:widowControl/>
        <w:autoSpaceDE/>
        <w:autoSpaceDN/>
        <w:spacing w:before="100" w:beforeAutospacing="1" w:after="100" w:afterAutospacing="1"/>
        <w:ind w:left="2268" w:firstLine="0"/>
        <w:rPr>
          <w:rFonts w:asciiTheme="minorHAnsi" w:eastAsia="Times New Roman" w:hAnsiTheme="minorHAnsi" w:cstheme="minorHAnsi"/>
          <w:i/>
          <w:iCs/>
          <w:szCs w:val="24"/>
          <w:lang w:val="pt-BR" w:eastAsia="pt-BR"/>
        </w:rPr>
      </w:pPr>
    </w:p>
    <w:p w:rsidR="00105605" w:rsidRDefault="00105605" w:rsidP="00105605">
      <w:pPr>
        <w:pStyle w:val="PargrafodaLista"/>
        <w:widowControl/>
        <w:autoSpaceDE/>
        <w:autoSpaceDN/>
        <w:spacing w:before="100" w:beforeAutospacing="1" w:after="100" w:afterAutospacing="1"/>
        <w:ind w:left="2268" w:firstLine="0"/>
        <w:rPr>
          <w:rFonts w:asciiTheme="minorHAnsi" w:eastAsia="Times New Roman" w:hAnsiTheme="minorHAnsi" w:cstheme="minorHAnsi"/>
          <w:i/>
          <w:iCs/>
          <w:szCs w:val="24"/>
          <w:lang w:val="pt-BR" w:eastAsia="pt-BR"/>
        </w:rPr>
      </w:pPr>
    </w:p>
    <w:p w:rsidR="00C749CA" w:rsidRPr="00FE4941" w:rsidRDefault="00C749CA" w:rsidP="00FE4941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i/>
          <w:iCs/>
          <w:szCs w:val="24"/>
          <w:lang w:val="pt-BR" w:eastAsia="pt-BR"/>
        </w:rPr>
      </w:pPr>
    </w:p>
    <w:p w:rsidR="00D2135C" w:rsidRPr="00D2135C" w:rsidRDefault="00D2135C" w:rsidP="00D2135C">
      <w:pPr>
        <w:pStyle w:val="PargrafodaLista"/>
        <w:widowControl/>
        <w:autoSpaceDE/>
        <w:autoSpaceDN/>
        <w:spacing w:before="100" w:beforeAutospacing="1" w:after="100" w:afterAutospacing="1"/>
        <w:ind w:left="2268" w:right="2108" w:firstLine="0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r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................................................................................................................................................</w:t>
      </w:r>
    </w:p>
    <w:p w:rsidR="00D2135C" w:rsidRPr="00D2135C" w:rsidRDefault="00D2135C" w:rsidP="00D2135C">
      <w:pPr>
        <w:pStyle w:val="PargrafodaLista"/>
        <w:widowControl/>
        <w:autoSpaceDE/>
        <w:autoSpaceDN/>
        <w:spacing w:before="100" w:beforeAutospacing="1" w:after="100" w:afterAutospacing="1"/>
        <w:ind w:left="2268" w:right="2108" w:firstLine="0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r w:rsidRPr="00D2135C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lastRenderedPageBreak/>
        <w:t>Distribuição anual das manifestações</w:t>
      </w:r>
      <w:r w:rsidR="00751A91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t xml:space="preserve"> registradas no Sistema Eletrônico OG</w:t>
      </w:r>
    </w:p>
    <w:tbl>
      <w:tblPr>
        <w:tblStyle w:val="TabeladeLista4"/>
        <w:tblW w:w="5812" w:type="dxa"/>
        <w:tblInd w:w="2263" w:type="dxa"/>
        <w:tblLook w:val="04A0" w:firstRow="1" w:lastRow="0" w:firstColumn="1" w:lastColumn="0" w:noHBand="0" w:noVBand="1"/>
      </w:tblPr>
      <w:tblGrid>
        <w:gridCol w:w="2867"/>
        <w:gridCol w:w="2945"/>
      </w:tblGrid>
      <w:tr w:rsidR="006A6C8E" w:rsidRPr="00D2135C" w:rsidTr="001E7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hideMark/>
          </w:tcPr>
          <w:p w:rsidR="00D2135C" w:rsidRPr="00D2135C" w:rsidRDefault="00D2135C" w:rsidP="006A6C8E">
            <w:pPr>
              <w:widowControl/>
              <w:autoSpaceDE/>
              <w:autoSpaceDN/>
              <w:ind w:left="-55" w:right="-104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4"/>
                <w:lang w:val="pt-BR" w:eastAsia="pt-BR"/>
              </w:rPr>
              <w:t>Ano</w:t>
            </w:r>
          </w:p>
        </w:tc>
        <w:tc>
          <w:tcPr>
            <w:tcW w:w="2945" w:type="dxa"/>
            <w:hideMark/>
          </w:tcPr>
          <w:p w:rsidR="00D2135C" w:rsidRPr="00D2135C" w:rsidRDefault="00D2135C" w:rsidP="006A6C8E">
            <w:pPr>
              <w:widowControl/>
              <w:autoSpaceDE/>
              <w:autoSpaceDN/>
              <w:ind w:left="5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4"/>
                <w:lang w:val="pt-BR" w:eastAsia="pt-BR"/>
              </w:rPr>
              <w:t>Total de manifestações</w:t>
            </w:r>
          </w:p>
        </w:tc>
      </w:tr>
      <w:tr w:rsidR="006A6C8E" w:rsidRPr="00D2135C" w:rsidTr="001E7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hideMark/>
          </w:tcPr>
          <w:p w:rsidR="00D2135C" w:rsidRPr="00D2135C" w:rsidRDefault="00D2135C" w:rsidP="006A6C8E">
            <w:pPr>
              <w:widowControl/>
              <w:autoSpaceDE/>
              <w:autoSpaceDN/>
              <w:ind w:left="-55" w:right="-104"/>
              <w:jc w:val="center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  <w:t>2024</w:t>
            </w:r>
          </w:p>
        </w:tc>
        <w:tc>
          <w:tcPr>
            <w:tcW w:w="2945" w:type="dxa"/>
            <w:hideMark/>
          </w:tcPr>
          <w:p w:rsidR="00D2135C" w:rsidRPr="00D2135C" w:rsidRDefault="00D2135C" w:rsidP="006A6C8E">
            <w:pPr>
              <w:widowControl/>
              <w:autoSpaceDE/>
              <w:autoSpaceDN/>
              <w:ind w:left="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  <w:t>11.130</w:t>
            </w:r>
          </w:p>
        </w:tc>
      </w:tr>
      <w:tr w:rsidR="006A6C8E" w:rsidRPr="00D2135C" w:rsidTr="001E7E76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7" w:type="dxa"/>
            <w:hideMark/>
          </w:tcPr>
          <w:p w:rsidR="00D2135C" w:rsidRPr="00D2135C" w:rsidRDefault="00D2135C" w:rsidP="006A6C8E">
            <w:pPr>
              <w:widowControl/>
              <w:autoSpaceDE/>
              <w:autoSpaceDN/>
              <w:ind w:left="-55" w:right="-104"/>
              <w:jc w:val="center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  <w:t>2025</w:t>
            </w:r>
          </w:p>
        </w:tc>
        <w:tc>
          <w:tcPr>
            <w:tcW w:w="2945" w:type="dxa"/>
            <w:hideMark/>
          </w:tcPr>
          <w:p w:rsidR="00D2135C" w:rsidRDefault="00D2135C" w:rsidP="006A6C8E">
            <w:pPr>
              <w:widowControl/>
              <w:autoSpaceDE/>
              <w:autoSpaceDN/>
              <w:ind w:left="5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  <w:r w:rsidRPr="00D2135C"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  <w:t>10.667</w:t>
            </w:r>
          </w:p>
          <w:p w:rsidR="00D2135C" w:rsidRPr="00D2135C" w:rsidRDefault="00D2135C" w:rsidP="006A6C8E">
            <w:pPr>
              <w:widowControl/>
              <w:autoSpaceDE/>
              <w:autoSpaceDN/>
              <w:ind w:left="5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4"/>
                <w:lang w:val="pt-BR" w:eastAsia="pt-BR"/>
              </w:rPr>
            </w:pPr>
          </w:p>
        </w:tc>
      </w:tr>
    </w:tbl>
    <w:p w:rsidR="00D2135C" w:rsidRDefault="00D2135C" w:rsidP="00653559">
      <w:pPr>
        <w:pStyle w:val="PargrafodaLista"/>
        <w:widowControl/>
        <w:autoSpaceDE/>
        <w:autoSpaceDN/>
        <w:spacing w:before="100" w:beforeAutospacing="1" w:after="100" w:afterAutospacing="1"/>
        <w:ind w:left="2268" w:right="1134" w:firstLine="0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r w:rsidRPr="00D2135C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 xml:space="preserve">Os dados demonstram elevado índice de resolutividade das demandas apresentadas, refletindo o compromisso da </w:t>
      </w:r>
      <w:proofErr w:type="spellStart"/>
      <w:r w:rsidRPr="00D2135C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>Ouvidoria-Geral</w:t>
      </w:r>
      <w:proofErr w:type="spellEnd"/>
      <w:r w:rsidRPr="00D2135C"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  <w:t xml:space="preserve"> com a eficiência no tratamento das manifestações e com a promoção de uma comunicação efetiva entre o Tribunal e a sociedade.</w:t>
      </w:r>
    </w:p>
    <w:p w:rsidR="00D2135C" w:rsidRDefault="00D2135C" w:rsidP="00D2135C">
      <w:pPr>
        <w:pStyle w:val="PargrafodaLista"/>
        <w:widowControl/>
        <w:autoSpaceDE/>
        <w:autoSpaceDN/>
        <w:spacing w:before="100" w:beforeAutospacing="1" w:after="100" w:afterAutospacing="1"/>
        <w:ind w:left="2268" w:right="2108" w:firstLine="0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</w:p>
    <w:p w:rsidR="00EA0CD2" w:rsidRDefault="00EA0CD2" w:rsidP="00D2135C">
      <w:pPr>
        <w:pStyle w:val="PargrafodaLista"/>
        <w:widowControl/>
        <w:autoSpaceDE/>
        <w:autoSpaceDN/>
        <w:spacing w:before="100" w:beforeAutospacing="1" w:after="100" w:afterAutospacing="1"/>
        <w:ind w:left="2268" w:right="2108" w:firstLine="0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</w:p>
    <w:p w:rsidR="00EA0CD2" w:rsidRDefault="00EA0CD2" w:rsidP="00D2135C">
      <w:pPr>
        <w:pStyle w:val="PargrafodaLista"/>
        <w:widowControl/>
        <w:autoSpaceDE/>
        <w:autoSpaceDN/>
        <w:spacing w:before="100" w:beforeAutospacing="1" w:after="100" w:afterAutospacing="1"/>
        <w:ind w:left="2268" w:right="2108" w:firstLine="0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</w:p>
    <w:p w:rsidR="00EA0CD2" w:rsidRDefault="00EA0CD2" w:rsidP="00D2135C">
      <w:pPr>
        <w:pStyle w:val="PargrafodaLista"/>
        <w:widowControl/>
        <w:autoSpaceDE/>
        <w:autoSpaceDN/>
        <w:spacing w:before="100" w:beforeAutospacing="1" w:after="100" w:afterAutospacing="1"/>
        <w:ind w:left="2268" w:right="2108" w:firstLine="0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</w:p>
    <w:p w:rsidR="00EA0CD2" w:rsidRDefault="00EA0CD2" w:rsidP="00D2135C">
      <w:pPr>
        <w:pStyle w:val="PargrafodaLista"/>
        <w:widowControl/>
        <w:autoSpaceDE/>
        <w:autoSpaceDN/>
        <w:spacing w:before="100" w:beforeAutospacing="1" w:after="100" w:afterAutospacing="1"/>
        <w:ind w:left="2268" w:right="2108" w:firstLine="0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</w:p>
    <w:p w:rsidR="000F5CCC" w:rsidRDefault="000F5CCC" w:rsidP="00D2135C">
      <w:pPr>
        <w:pStyle w:val="PargrafodaLista"/>
        <w:widowControl/>
        <w:autoSpaceDE/>
        <w:autoSpaceDN/>
        <w:spacing w:before="100" w:beforeAutospacing="1" w:after="100" w:afterAutospacing="1"/>
        <w:ind w:left="2268" w:right="2108" w:firstLine="0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</w:p>
    <w:p w:rsidR="000F5CCC" w:rsidRDefault="000F5CCC" w:rsidP="00D2135C">
      <w:pPr>
        <w:pStyle w:val="PargrafodaLista"/>
        <w:widowControl/>
        <w:autoSpaceDE/>
        <w:autoSpaceDN/>
        <w:spacing w:before="100" w:beforeAutospacing="1" w:after="100" w:afterAutospacing="1"/>
        <w:ind w:left="2268" w:right="2108" w:firstLine="0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</w:p>
    <w:p w:rsidR="00EA0CD2" w:rsidRPr="00EA0CD2" w:rsidRDefault="00EA0CD2" w:rsidP="00EA0CD2">
      <w:pPr>
        <w:widowControl/>
        <w:autoSpaceDE/>
        <w:autoSpaceDN/>
        <w:spacing w:before="100" w:beforeAutospacing="1" w:after="100" w:afterAutospacing="1"/>
        <w:ind w:right="2108"/>
        <w:jc w:val="both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</w:p>
    <w:p w:rsidR="00B56EC1" w:rsidRPr="0043533E" w:rsidRDefault="00B56EC1" w:rsidP="00773FC8">
      <w:pPr>
        <w:pStyle w:val="PargrafodaLista"/>
        <w:widowControl/>
        <w:numPr>
          <w:ilvl w:val="1"/>
          <w:numId w:val="7"/>
        </w:numPr>
        <w:autoSpaceDE/>
        <w:autoSpaceDN/>
        <w:spacing w:before="100" w:beforeAutospacing="1" w:after="100" w:afterAutospacing="1" w:line="259" w:lineRule="auto"/>
        <w:ind w:left="2268" w:right="1134" w:firstLine="0"/>
        <w:rPr>
          <w:u w:val="single"/>
        </w:rPr>
      </w:pPr>
      <w:r w:rsidRPr="0043533E">
        <w:rPr>
          <w:rFonts w:asciiTheme="minorHAnsi" w:eastAsia="Times New Roman" w:hAnsiTheme="minorHAnsi" w:cstheme="minorHAnsi"/>
          <w:b/>
          <w:sz w:val="36"/>
          <w:szCs w:val="40"/>
          <w:u w:val="single"/>
          <w:lang w:val="pt-BR" w:eastAsia="pt-BR"/>
        </w:rPr>
        <w:lastRenderedPageBreak/>
        <w:t xml:space="preserve">Manifestações registradas no sistema eletrônico da </w:t>
      </w:r>
      <w:proofErr w:type="spellStart"/>
      <w:r w:rsidRPr="0043533E">
        <w:rPr>
          <w:rFonts w:asciiTheme="minorHAnsi" w:eastAsia="Times New Roman" w:hAnsiTheme="minorHAnsi" w:cstheme="minorHAnsi"/>
          <w:b/>
          <w:sz w:val="36"/>
          <w:szCs w:val="40"/>
          <w:u w:val="single"/>
          <w:lang w:val="pt-BR" w:eastAsia="pt-BR"/>
        </w:rPr>
        <w:t>Ouvidoria-Geral</w:t>
      </w:r>
      <w:proofErr w:type="spellEnd"/>
      <w:r>
        <w:rPr>
          <w:rFonts w:asciiTheme="minorHAnsi" w:eastAsia="Times New Roman" w:hAnsiTheme="minorHAnsi" w:cstheme="minorHAnsi"/>
          <w:b/>
          <w:sz w:val="36"/>
          <w:szCs w:val="40"/>
          <w:u w:val="single"/>
          <w:lang w:val="pt-BR" w:eastAsia="pt-BR"/>
        </w:rPr>
        <w:t>/TJPE por natureza e ano: biênio 2024 - 2026</w:t>
      </w:r>
    </w:p>
    <w:p w:rsidR="002549B6" w:rsidRDefault="002549B6" w:rsidP="00773FC8">
      <w:pPr>
        <w:ind w:left="2268" w:right="1134"/>
        <w:rPr>
          <w:rFonts w:ascii="Times New Roman"/>
          <w:sz w:val="20"/>
        </w:rPr>
      </w:pPr>
    </w:p>
    <w:p w:rsidR="00EA0CD2" w:rsidRPr="00EA0CD2" w:rsidRDefault="00EA0CD2" w:rsidP="00773FC8">
      <w:pPr>
        <w:ind w:left="2268" w:right="1134"/>
        <w:jc w:val="both"/>
        <w:rPr>
          <w:rFonts w:asciiTheme="minorHAnsi" w:hAnsiTheme="minorHAnsi" w:cstheme="minorHAnsi"/>
          <w:sz w:val="24"/>
        </w:rPr>
      </w:pPr>
      <w:r w:rsidRPr="00EA0CD2">
        <w:rPr>
          <w:rFonts w:asciiTheme="minorHAnsi" w:hAnsiTheme="minorHAnsi" w:cstheme="minorHAnsi"/>
          <w:sz w:val="28"/>
        </w:rPr>
        <w:t>O quadro comparativo a seguir apresenta a distribuição das manifestações registradas no sistema eletrônico da Ouvidoria-Geral do Tribunal de Justiça de Pernambuco, classificadas por natureza, nos anos de 2024 e 2025.</w:t>
      </w:r>
    </w:p>
    <w:p w:rsidR="000F5CCC" w:rsidRPr="000F5CCC" w:rsidRDefault="000F5CCC" w:rsidP="000F5CCC">
      <w:pPr>
        <w:widowControl/>
        <w:autoSpaceDE/>
        <w:autoSpaceDN/>
        <w:spacing w:before="100" w:beforeAutospacing="1" w:after="100" w:afterAutospacing="1"/>
        <w:ind w:left="2268"/>
        <w:rPr>
          <w:rFonts w:asciiTheme="minorHAnsi" w:eastAsia="Times New Roman" w:hAnsiTheme="minorHAnsi" w:cstheme="minorHAnsi"/>
          <w:color w:val="ED7D31" w:themeColor="accent2"/>
          <w:sz w:val="28"/>
          <w:szCs w:val="28"/>
          <w:lang w:val="pt-BR" w:eastAsia="pt-BR"/>
        </w:rPr>
      </w:pPr>
      <w:r w:rsidRPr="000F5CCC">
        <w:rPr>
          <w:rFonts w:asciiTheme="minorHAnsi" w:eastAsia="Times New Roman" w:hAnsiTheme="minorHAnsi" w:cstheme="minorHAnsi"/>
          <w:b/>
          <w:bCs/>
          <w:color w:val="ED7D31" w:themeColor="accent2"/>
          <w:sz w:val="28"/>
          <w:szCs w:val="28"/>
          <w:lang w:val="pt-BR" w:eastAsia="pt-BR"/>
        </w:rPr>
        <w:t>Quadro comparativo</w:t>
      </w:r>
    </w:p>
    <w:tbl>
      <w:tblPr>
        <w:tblStyle w:val="TabeladeLista4"/>
        <w:tblW w:w="0" w:type="auto"/>
        <w:tblInd w:w="2263" w:type="dxa"/>
        <w:tblLook w:val="04A0" w:firstRow="1" w:lastRow="0" w:firstColumn="1" w:lastColumn="0" w:noHBand="0" w:noVBand="1"/>
      </w:tblPr>
      <w:tblGrid>
        <w:gridCol w:w="4700"/>
        <w:gridCol w:w="1349"/>
        <w:gridCol w:w="1250"/>
        <w:gridCol w:w="1349"/>
        <w:gridCol w:w="1250"/>
      </w:tblGrid>
      <w:tr w:rsidR="000F5CCC" w:rsidRPr="000F5CCC" w:rsidTr="00F62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8"/>
                <w:lang w:val="pt-BR" w:eastAsia="pt-BR"/>
              </w:rPr>
              <w:t>Natureza da Manifestação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8"/>
                <w:lang w:val="pt-BR" w:eastAsia="pt-BR"/>
              </w:rPr>
              <w:t>2024 – Nº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8"/>
                <w:lang w:val="pt-BR" w:eastAsia="pt-BR"/>
              </w:rPr>
              <w:t>2024 – %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8"/>
                <w:lang w:val="pt-BR" w:eastAsia="pt-BR"/>
              </w:rPr>
              <w:t>2025 – Nº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8"/>
                <w:lang w:val="pt-BR" w:eastAsia="pt-BR"/>
              </w:rPr>
              <w:t>2025 – %</w:t>
            </w:r>
          </w:p>
        </w:tc>
      </w:tr>
      <w:tr w:rsidR="000F5CCC" w:rsidRPr="000F5CCC" w:rsidTr="00F62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Pedidos de agilização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9.261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82%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8.903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82%</w:t>
            </w:r>
          </w:p>
        </w:tc>
      </w:tr>
      <w:tr w:rsidR="000F5CCC" w:rsidRPr="000F5CCC" w:rsidTr="00F62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Solicitações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1.066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9%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923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8%</w:t>
            </w:r>
          </w:p>
        </w:tc>
      </w:tr>
      <w:tr w:rsidR="000F5CCC" w:rsidRPr="000F5CCC" w:rsidTr="00F62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Reclamações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751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7%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617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6%</w:t>
            </w:r>
          </w:p>
        </w:tc>
      </w:tr>
      <w:tr w:rsidR="000F5CCC" w:rsidRPr="000F5CCC" w:rsidTr="00F62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Lei de Acesso à Informação (LAI)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144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1%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187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2%</w:t>
            </w:r>
          </w:p>
        </w:tc>
      </w:tr>
      <w:tr w:rsidR="000F5CCC" w:rsidRPr="000F5CCC" w:rsidTr="00F62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Lei Geral de Proteção de Dados (LGPD)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29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0,2%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82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1%</w:t>
            </w:r>
          </w:p>
        </w:tc>
      </w:tr>
      <w:tr w:rsidR="000F5CCC" w:rsidRPr="000F5CCC" w:rsidTr="00F62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Elogios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41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0,4%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60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0,5%</w:t>
            </w:r>
          </w:p>
        </w:tc>
      </w:tr>
      <w:tr w:rsidR="000F5CCC" w:rsidRPr="000F5CCC" w:rsidTr="00F62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Denúncias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22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0,2%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55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0,5%</w:t>
            </w:r>
          </w:p>
        </w:tc>
      </w:tr>
      <w:tr w:rsidR="000F5CCC" w:rsidRPr="000F5CCC" w:rsidTr="00F62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Sugestões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16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0,1%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5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="Cambria Math" w:eastAsia="Times New Roman" w:hAnsi="Cambria Math" w:cs="Cambria Math"/>
                <w:sz w:val="28"/>
                <w:szCs w:val="28"/>
                <w:lang w:val="pt-BR" w:eastAsia="pt-BR"/>
              </w:rPr>
              <w:t>≅</w:t>
            </w:r>
            <w:r w:rsidRPr="000F5CCC"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  <w:t>0,04%</w:t>
            </w:r>
          </w:p>
        </w:tc>
      </w:tr>
      <w:tr w:rsidR="000F5CCC" w:rsidRPr="000F5CCC" w:rsidTr="00F62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b w:val="0"/>
                <w:bCs w:val="0"/>
                <w:sz w:val="28"/>
                <w:szCs w:val="28"/>
                <w:lang w:val="pt-BR" w:eastAsia="pt-BR"/>
              </w:rPr>
              <w:t>Total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pt-BR" w:eastAsia="pt-BR"/>
              </w:rPr>
              <w:t>11.330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pt-BR" w:eastAsia="pt-BR"/>
              </w:rPr>
              <w:t>100%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pt-BR" w:eastAsia="pt-BR"/>
              </w:rPr>
              <w:t>10.832</w:t>
            </w:r>
          </w:p>
        </w:tc>
        <w:tc>
          <w:tcPr>
            <w:tcW w:w="0" w:type="auto"/>
            <w:hideMark/>
          </w:tcPr>
          <w:p w:rsidR="000F5CCC" w:rsidRPr="000F5CCC" w:rsidRDefault="000F5CCC" w:rsidP="000F5CC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8"/>
                <w:szCs w:val="28"/>
                <w:lang w:val="pt-BR" w:eastAsia="pt-BR"/>
              </w:rPr>
            </w:pPr>
            <w:r w:rsidRPr="000F5CCC"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pt-BR" w:eastAsia="pt-BR"/>
              </w:rPr>
              <w:t>100%</w:t>
            </w:r>
          </w:p>
        </w:tc>
      </w:tr>
    </w:tbl>
    <w:p w:rsidR="00B56EC1" w:rsidRDefault="00B56EC1" w:rsidP="00B56EC1">
      <w:pPr>
        <w:ind w:left="2268"/>
        <w:rPr>
          <w:rFonts w:ascii="Times New Roman"/>
          <w:sz w:val="20"/>
        </w:rPr>
      </w:pPr>
    </w:p>
    <w:p w:rsidR="002549B6" w:rsidRDefault="002549B6" w:rsidP="007F1BB9">
      <w:pPr>
        <w:pStyle w:val="Corpodetexto"/>
        <w:ind w:left="2268" w:right="1134"/>
        <w:rPr>
          <w:sz w:val="20"/>
        </w:rPr>
      </w:pPr>
    </w:p>
    <w:p w:rsidR="00EA0CD2" w:rsidRPr="00EA0CD2" w:rsidRDefault="00EA0CD2" w:rsidP="007F1BB9">
      <w:pPr>
        <w:pStyle w:val="NormalWeb"/>
        <w:tabs>
          <w:tab w:val="left" w:pos="13750"/>
        </w:tabs>
        <w:ind w:left="2268" w:right="1134"/>
        <w:jc w:val="both"/>
        <w:rPr>
          <w:rFonts w:asciiTheme="minorHAnsi" w:hAnsiTheme="minorHAnsi" w:cstheme="minorHAnsi"/>
          <w:sz w:val="28"/>
        </w:rPr>
      </w:pPr>
      <w:r w:rsidRPr="00EA0CD2">
        <w:rPr>
          <w:rFonts w:asciiTheme="minorHAnsi" w:hAnsiTheme="minorHAnsi" w:cstheme="minorHAnsi"/>
          <w:sz w:val="28"/>
        </w:rPr>
        <w:t xml:space="preserve">A análise dos dados evidencia que os </w:t>
      </w:r>
      <w:r w:rsidRPr="00EA0CD2">
        <w:rPr>
          <w:rStyle w:val="Forte"/>
          <w:rFonts w:asciiTheme="minorHAnsi" w:hAnsiTheme="minorHAnsi" w:cstheme="minorHAnsi"/>
          <w:sz w:val="28"/>
        </w:rPr>
        <w:t>pedidos de agilização processual</w:t>
      </w:r>
      <w:r w:rsidRPr="00EA0CD2">
        <w:rPr>
          <w:rFonts w:asciiTheme="minorHAnsi" w:hAnsiTheme="minorHAnsi" w:cstheme="minorHAnsi"/>
          <w:sz w:val="28"/>
        </w:rPr>
        <w:t xml:space="preserve"> permanecem como a principal natureza das manifestações recebidas pela Ouvidoria, representando aproximadamente 82% do total em ambos os anos avaliados. Em seguida, destacam-se as </w:t>
      </w:r>
      <w:r w:rsidRPr="00EA0CD2">
        <w:rPr>
          <w:rStyle w:val="Forte"/>
          <w:rFonts w:asciiTheme="minorHAnsi" w:hAnsiTheme="minorHAnsi" w:cstheme="minorHAnsi"/>
          <w:sz w:val="28"/>
        </w:rPr>
        <w:t>solicitações</w:t>
      </w:r>
      <w:r w:rsidRPr="00EA0CD2">
        <w:rPr>
          <w:rFonts w:asciiTheme="minorHAnsi" w:hAnsiTheme="minorHAnsi" w:cstheme="minorHAnsi"/>
          <w:sz w:val="28"/>
        </w:rPr>
        <w:t xml:space="preserve"> e as </w:t>
      </w:r>
      <w:r w:rsidRPr="00EA0CD2">
        <w:rPr>
          <w:rStyle w:val="Forte"/>
          <w:rFonts w:asciiTheme="minorHAnsi" w:hAnsiTheme="minorHAnsi" w:cstheme="minorHAnsi"/>
          <w:sz w:val="28"/>
        </w:rPr>
        <w:t>reclamações</w:t>
      </w:r>
      <w:r w:rsidRPr="00EA0CD2">
        <w:rPr>
          <w:rFonts w:asciiTheme="minorHAnsi" w:hAnsiTheme="minorHAnsi" w:cstheme="minorHAnsi"/>
          <w:sz w:val="28"/>
        </w:rPr>
        <w:t>, que, embora em menor proporção, refletem demandas relevantes relacionadas à prestação dos serviços judiciais.</w:t>
      </w:r>
    </w:p>
    <w:p w:rsidR="00EA0CD2" w:rsidRPr="00EA0CD2" w:rsidRDefault="00EA0CD2" w:rsidP="007F1BB9">
      <w:pPr>
        <w:pStyle w:val="NormalWeb"/>
        <w:tabs>
          <w:tab w:val="left" w:pos="13750"/>
        </w:tabs>
        <w:ind w:left="2268" w:right="1134"/>
        <w:jc w:val="both"/>
        <w:rPr>
          <w:rFonts w:asciiTheme="minorHAnsi" w:hAnsiTheme="minorHAnsi" w:cstheme="minorHAnsi"/>
          <w:sz w:val="28"/>
        </w:rPr>
      </w:pPr>
      <w:r w:rsidRPr="00EA0CD2">
        <w:rPr>
          <w:rFonts w:asciiTheme="minorHAnsi" w:hAnsiTheme="minorHAnsi" w:cstheme="minorHAnsi"/>
          <w:sz w:val="28"/>
        </w:rPr>
        <w:t xml:space="preserve">Observa-se, ainda, </w:t>
      </w:r>
      <w:r w:rsidRPr="00EA0CD2">
        <w:rPr>
          <w:rStyle w:val="Forte"/>
          <w:rFonts w:asciiTheme="minorHAnsi" w:hAnsiTheme="minorHAnsi" w:cstheme="minorHAnsi"/>
          <w:sz w:val="28"/>
        </w:rPr>
        <w:t>crescimento proporcional das manifestações relacionadas à Lei de Acesso à Informação (LAI) e à Lei Geral de Proteção de Dados (LGPD)</w:t>
      </w:r>
      <w:r w:rsidRPr="00EA0CD2">
        <w:rPr>
          <w:rFonts w:asciiTheme="minorHAnsi" w:hAnsiTheme="minorHAnsi" w:cstheme="minorHAnsi"/>
          <w:sz w:val="28"/>
        </w:rPr>
        <w:t>, o que sinaliza o fortalecimento da cultura institucional de transparência e de proteção de dados pessoais no âmbito do Tribunal.</w:t>
      </w:r>
    </w:p>
    <w:p w:rsidR="00EA0CD2" w:rsidRPr="00EA0CD2" w:rsidRDefault="00EA0CD2" w:rsidP="007F1BB9">
      <w:pPr>
        <w:pStyle w:val="NormalWeb"/>
        <w:tabs>
          <w:tab w:val="left" w:pos="13750"/>
        </w:tabs>
        <w:ind w:left="2268" w:right="2108"/>
        <w:jc w:val="both"/>
        <w:rPr>
          <w:rFonts w:asciiTheme="minorHAnsi" w:hAnsiTheme="minorHAnsi" w:cstheme="minorHAnsi"/>
          <w:sz w:val="28"/>
        </w:rPr>
      </w:pPr>
      <w:r w:rsidRPr="00EA0CD2">
        <w:rPr>
          <w:rFonts w:asciiTheme="minorHAnsi" w:hAnsiTheme="minorHAnsi" w:cstheme="minorHAnsi"/>
          <w:sz w:val="28"/>
        </w:rPr>
        <w:t xml:space="preserve">Os dados confirmam que </w:t>
      </w:r>
      <w:r w:rsidRPr="00EA0CD2">
        <w:rPr>
          <w:rStyle w:val="Forte"/>
          <w:rFonts w:asciiTheme="minorHAnsi" w:hAnsiTheme="minorHAnsi" w:cstheme="minorHAnsi"/>
          <w:sz w:val="28"/>
        </w:rPr>
        <w:t>a duração dos processos judiciais continua figurando como temática central nas interações da sociedade com a Ouvidoria</w:t>
      </w:r>
      <w:r w:rsidRPr="00EA0CD2">
        <w:rPr>
          <w:rFonts w:asciiTheme="minorHAnsi" w:hAnsiTheme="minorHAnsi" w:cstheme="minorHAnsi"/>
          <w:sz w:val="28"/>
        </w:rPr>
        <w:t>, reforçando a importância de iniciativas e projetos voltados à celeridade processual e ao aprimoramento contínuo da prestação jurisdicional.</w:t>
      </w:r>
    </w:p>
    <w:p w:rsidR="002549B6" w:rsidRDefault="002549B6" w:rsidP="002549B6">
      <w:pPr>
        <w:pStyle w:val="Corpodetexto"/>
        <w:rPr>
          <w:sz w:val="20"/>
        </w:rPr>
      </w:pPr>
    </w:p>
    <w:p w:rsidR="002549B6" w:rsidRDefault="002549B6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7F1BB9" w:rsidRDefault="007F1BB9" w:rsidP="002549B6">
      <w:pPr>
        <w:pStyle w:val="Corpodetexto"/>
        <w:rPr>
          <w:sz w:val="20"/>
        </w:rPr>
      </w:pPr>
    </w:p>
    <w:p w:rsidR="007F1BB9" w:rsidRDefault="007F1BB9" w:rsidP="002549B6">
      <w:pPr>
        <w:pStyle w:val="Corpodetexto"/>
        <w:rPr>
          <w:sz w:val="20"/>
        </w:rPr>
      </w:pPr>
    </w:p>
    <w:p w:rsidR="007F1BB9" w:rsidRDefault="007F1BB9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6A6C8E" w:rsidRDefault="006A6C8E" w:rsidP="002549B6">
      <w:pPr>
        <w:pStyle w:val="Corpodetexto"/>
        <w:rPr>
          <w:sz w:val="20"/>
        </w:rPr>
      </w:pPr>
    </w:p>
    <w:p w:rsidR="00B56EC1" w:rsidRPr="0043533E" w:rsidRDefault="00B56EC1" w:rsidP="00773FC8">
      <w:pPr>
        <w:pStyle w:val="PargrafodaLista"/>
        <w:widowControl/>
        <w:numPr>
          <w:ilvl w:val="1"/>
          <w:numId w:val="7"/>
        </w:numPr>
        <w:autoSpaceDE/>
        <w:autoSpaceDN/>
        <w:spacing w:before="100" w:beforeAutospacing="1" w:after="100" w:afterAutospacing="1" w:line="259" w:lineRule="auto"/>
        <w:ind w:left="2268" w:right="1134" w:firstLine="0"/>
        <w:rPr>
          <w:u w:val="single"/>
        </w:rPr>
      </w:pPr>
      <w:r>
        <w:rPr>
          <w:rFonts w:asciiTheme="minorHAnsi" w:eastAsia="Times New Roman" w:hAnsiTheme="minorHAnsi" w:cstheme="minorHAnsi"/>
          <w:b/>
          <w:sz w:val="36"/>
          <w:szCs w:val="40"/>
          <w:u w:val="single"/>
          <w:lang w:val="pt-BR" w:eastAsia="pt-BR"/>
        </w:rPr>
        <w:lastRenderedPageBreak/>
        <w:t>Quadro comparativo quanto às manifestações registradas no Sistema OG quanto ao biênio anterior</w:t>
      </w:r>
    </w:p>
    <w:p w:rsidR="002549B6" w:rsidRDefault="002549B6" w:rsidP="00773FC8">
      <w:pPr>
        <w:pStyle w:val="Corpodetexto"/>
        <w:ind w:left="2268" w:right="1134"/>
        <w:jc w:val="both"/>
        <w:rPr>
          <w:sz w:val="20"/>
        </w:rPr>
      </w:pPr>
    </w:p>
    <w:p w:rsidR="002549B6" w:rsidRDefault="002549B6" w:rsidP="00773FC8">
      <w:pPr>
        <w:pStyle w:val="Corpodetexto"/>
        <w:ind w:left="2268" w:right="1134"/>
        <w:jc w:val="both"/>
        <w:rPr>
          <w:sz w:val="20"/>
        </w:rPr>
      </w:pPr>
    </w:p>
    <w:p w:rsidR="002549B6" w:rsidRDefault="001F1BEB" w:rsidP="00773FC8">
      <w:pPr>
        <w:pStyle w:val="Corpodetexto"/>
        <w:ind w:left="2268" w:right="1134"/>
        <w:jc w:val="both"/>
        <w:rPr>
          <w:sz w:val="20"/>
        </w:rPr>
      </w:pPr>
      <w:r>
        <w:t>O quadro a seguir apresenta a comparação entre os quantitativos de manifestações registradas no Sistema Eletrônico da Ouvidoria-Geral do Tribunal de Justiça de Pernambuco nos biênios 2022–2024 e 2024–2026, bem como o respectivo status de tramitação.</w:t>
      </w:r>
    </w:p>
    <w:p w:rsidR="002549B6" w:rsidRDefault="002549B6" w:rsidP="002549B6">
      <w:pPr>
        <w:pStyle w:val="Corpodetexto"/>
        <w:rPr>
          <w:sz w:val="20"/>
        </w:rPr>
      </w:pPr>
    </w:p>
    <w:p w:rsidR="002549B6" w:rsidRDefault="002549B6" w:rsidP="002549B6">
      <w:pPr>
        <w:pStyle w:val="Corpodetexto"/>
        <w:spacing w:before="8"/>
        <w:rPr>
          <w:sz w:val="20"/>
        </w:rPr>
      </w:pPr>
    </w:p>
    <w:tbl>
      <w:tblPr>
        <w:tblStyle w:val="TabeladeLista4"/>
        <w:tblW w:w="0" w:type="auto"/>
        <w:tblInd w:w="2263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A6C8E" w:rsidTr="00F62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62542" w:rsidRDefault="00F62542" w:rsidP="00F62542">
            <w:pPr>
              <w:jc w:val="center"/>
            </w:pPr>
          </w:p>
          <w:p w:rsidR="006A6C8E" w:rsidRDefault="006A6C8E" w:rsidP="00F62542">
            <w:r>
              <w:t>Biênio</w:t>
            </w:r>
          </w:p>
        </w:tc>
        <w:tc>
          <w:tcPr>
            <w:tcW w:w="2160" w:type="dxa"/>
          </w:tcPr>
          <w:p w:rsidR="006A6C8E" w:rsidRDefault="006A6C8E" w:rsidP="00D90A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 de manifestações registradas</w:t>
            </w:r>
          </w:p>
        </w:tc>
        <w:tc>
          <w:tcPr>
            <w:tcW w:w="2160" w:type="dxa"/>
          </w:tcPr>
          <w:p w:rsidR="006A6C8E" w:rsidRDefault="006A6C8E" w:rsidP="00D90A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Manifestações concluídas</w:t>
            </w:r>
          </w:p>
        </w:tc>
        <w:tc>
          <w:tcPr>
            <w:tcW w:w="2160" w:type="dxa"/>
          </w:tcPr>
          <w:p w:rsidR="006A6C8E" w:rsidRDefault="006A6C8E" w:rsidP="00D90A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Manifestações em andamento</w:t>
            </w:r>
          </w:p>
        </w:tc>
      </w:tr>
      <w:tr w:rsidR="006A6C8E" w:rsidTr="00F62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A6C8E" w:rsidRDefault="006A6C8E" w:rsidP="00D90A8A">
            <w:r>
              <w:t>2022–2024</w:t>
            </w:r>
          </w:p>
        </w:tc>
        <w:tc>
          <w:tcPr>
            <w:tcW w:w="2160" w:type="dxa"/>
          </w:tcPr>
          <w:p w:rsidR="006A6C8E" w:rsidRDefault="006A6C8E" w:rsidP="00D90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17.341 (100%)</w:t>
            </w:r>
          </w:p>
        </w:tc>
        <w:tc>
          <w:tcPr>
            <w:tcW w:w="2160" w:type="dxa"/>
          </w:tcPr>
          <w:p w:rsidR="006A6C8E" w:rsidRDefault="006A6C8E" w:rsidP="00D90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17.020 (98,1%)</w:t>
            </w:r>
          </w:p>
        </w:tc>
        <w:tc>
          <w:tcPr>
            <w:tcW w:w="2160" w:type="dxa"/>
          </w:tcPr>
          <w:p w:rsidR="006A6C8E" w:rsidRDefault="006A6C8E" w:rsidP="00D90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321 (1,9%)</w:t>
            </w:r>
          </w:p>
        </w:tc>
      </w:tr>
      <w:tr w:rsidR="006A6C8E" w:rsidTr="00F62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6A6C8E" w:rsidRDefault="006A6C8E" w:rsidP="00D90A8A">
            <w:r>
              <w:t>2024–2026</w:t>
            </w:r>
          </w:p>
        </w:tc>
        <w:tc>
          <w:tcPr>
            <w:tcW w:w="2160" w:type="dxa"/>
          </w:tcPr>
          <w:p w:rsidR="006A6C8E" w:rsidRDefault="006A6C8E" w:rsidP="00D90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22.162 (100%)</w:t>
            </w:r>
          </w:p>
        </w:tc>
        <w:tc>
          <w:tcPr>
            <w:tcW w:w="2160" w:type="dxa"/>
          </w:tcPr>
          <w:p w:rsidR="006A6C8E" w:rsidRDefault="006A6C8E" w:rsidP="00D90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21.670 (98%)</w:t>
            </w:r>
          </w:p>
        </w:tc>
        <w:tc>
          <w:tcPr>
            <w:tcW w:w="2160" w:type="dxa"/>
          </w:tcPr>
          <w:p w:rsidR="006A6C8E" w:rsidRDefault="006A6C8E" w:rsidP="00D90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492 (2%)</w:t>
            </w:r>
          </w:p>
        </w:tc>
      </w:tr>
    </w:tbl>
    <w:p w:rsidR="002549B6" w:rsidRDefault="002549B6" w:rsidP="002549B6">
      <w:pPr>
        <w:pStyle w:val="Corpodetexto"/>
        <w:spacing w:before="144"/>
      </w:pPr>
    </w:p>
    <w:p w:rsidR="006A6C8E" w:rsidRDefault="006A6C8E" w:rsidP="00773FC8">
      <w:pPr>
        <w:pStyle w:val="PargrafodaLista"/>
        <w:ind w:left="2268" w:right="1134" w:firstLine="0"/>
        <w:jc w:val="both"/>
      </w:pPr>
      <w:r w:rsidRPr="006A6C8E">
        <w:rPr>
          <w:rFonts w:asciiTheme="minorHAnsi" w:hAnsiTheme="minorHAnsi" w:cstheme="minorHAnsi"/>
          <w:sz w:val="28"/>
        </w:rPr>
        <w:t>Os dados demonstram um crescimento expressivo no volume de manifestações registradas no Sistema da Ouvidoria-Geral no biênio 2024–2026, com acréscimo superior a 3.000 registros em relação ao biênio anterior.</w:t>
      </w:r>
      <w:r w:rsidRPr="006A6C8E">
        <w:rPr>
          <w:rFonts w:asciiTheme="minorHAnsi" w:hAnsiTheme="minorHAnsi" w:cstheme="minorHAnsi"/>
          <w:sz w:val="28"/>
        </w:rPr>
        <w:br/>
      </w:r>
      <w:r w:rsidRPr="006A6C8E">
        <w:rPr>
          <w:rFonts w:asciiTheme="minorHAnsi" w:hAnsiTheme="minorHAnsi" w:cstheme="minorHAnsi"/>
          <w:sz w:val="28"/>
        </w:rPr>
        <w:br/>
        <w:t>O aumento reflete o fortalecimento dos canais de comunicação entre o Tribunal de Justiça de Pernambuco e a sociedade, bem como a consolidação da Ouvidoria como instrumento permanente de escuta cidadã, transparência institucional e aprimoramento da prestação jurisdicional.</w:t>
      </w:r>
      <w:r>
        <w:br/>
      </w:r>
      <w:r>
        <w:br/>
      </w:r>
      <w:r w:rsidRPr="006A6C8E">
        <w:rPr>
          <w:sz w:val="28"/>
        </w:rPr>
        <w:t xml:space="preserve">Apesar do crescimento da demanda, </w:t>
      </w:r>
      <w:r w:rsidRPr="0081774C">
        <w:rPr>
          <w:b/>
          <w:sz w:val="28"/>
        </w:rPr>
        <w:t>observa-se a manutenção de elevado índice de resolutividade, com aproximadamente 98% das manifestações concluídas,</w:t>
      </w:r>
      <w:r w:rsidRPr="006A6C8E">
        <w:rPr>
          <w:sz w:val="28"/>
        </w:rPr>
        <w:t xml:space="preserve"> evidenciando a eficiência operacional e o comprometimento da equipe da Ouvidoria-Geral no tratamento das demandas recebidas.</w:t>
      </w:r>
    </w:p>
    <w:p w:rsidR="006811DA" w:rsidRDefault="006811DA" w:rsidP="006811DA">
      <w:pPr>
        <w:tabs>
          <w:tab w:val="left" w:pos="760"/>
        </w:tabs>
        <w:ind w:right="2108"/>
        <w:jc w:val="both"/>
        <w:rPr>
          <w:b/>
        </w:rPr>
      </w:pPr>
    </w:p>
    <w:p w:rsidR="006811DA" w:rsidRDefault="006811DA" w:rsidP="006811DA">
      <w:pPr>
        <w:tabs>
          <w:tab w:val="left" w:pos="760"/>
        </w:tabs>
        <w:ind w:right="2108"/>
        <w:jc w:val="both"/>
        <w:rPr>
          <w:b/>
        </w:rPr>
      </w:pPr>
    </w:p>
    <w:p w:rsidR="006811DA" w:rsidRPr="006811DA" w:rsidRDefault="006811DA" w:rsidP="006811DA">
      <w:pPr>
        <w:tabs>
          <w:tab w:val="left" w:pos="760"/>
        </w:tabs>
        <w:ind w:right="2108"/>
        <w:jc w:val="both"/>
        <w:rPr>
          <w:b/>
        </w:rPr>
      </w:pPr>
    </w:p>
    <w:p w:rsidR="002549B6" w:rsidRPr="00C55CBD" w:rsidRDefault="00B56EC1" w:rsidP="00773FC8">
      <w:pPr>
        <w:pStyle w:val="PargrafodaLista"/>
        <w:widowControl/>
        <w:numPr>
          <w:ilvl w:val="1"/>
          <w:numId w:val="7"/>
        </w:numPr>
        <w:autoSpaceDE/>
        <w:autoSpaceDN/>
        <w:spacing w:before="100" w:beforeAutospacing="1" w:after="100" w:afterAutospacing="1" w:line="259" w:lineRule="auto"/>
        <w:ind w:left="2268" w:right="1134" w:firstLine="0"/>
        <w:rPr>
          <w:u w:val="single"/>
        </w:rPr>
      </w:pPr>
      <w:r>
        <w:rPr>
          <w:rFonts w:asciiTheme="minorHAnsi" w:eastAsia="Times New Roman" w:hAnsiTheme="minorHAnsi" w:cstheme="minorHAnsi"/>
          <w:b/>
          <w:sz w:val="36"/>
          <w:szCs w:val="40"/>
          <w:u w:val="single"/>
          <w:lang w:val="pt-BR" w:eastAsia="pt-BR"/>
        </w:rPr>
        <w:lastRenderedPageBreak/>
        <w:t>Quadro comparativo quanto às manifestações, por natureza, registradas no Sistema OG quanto ao biênio anterior</w:t>
      </w:r>
    </w:p>
    <w:p w:rsidR="00C55CBD" w:rsidRDefault="00C55CBD" w:rsidP="00773FC8">
      <w:pPr>
        <w:pStyle w:val="PargrafodaLista"/>
        <w:widowControl/>
        <w:autoSpaceDE/>
        <w:autoSpaceDN/>
        <w:spacing w:before="100" w:beforeAutospacing="1" w:after="100" w:afterAutospacing="1" w:line="259" w:lineRule="auto"/>
        <w:ind w:left="2268" w:right="1134" w:firstLine="0"/>
        <w:jc w:val="both"/>
        <w:rPr>
          <w:rFonts w:asciiTheme="minorHAnsi" w:hAnsiTheme="minorHAnsi" w:cstheme="minorHAnsi"/>
          <w:sz w:val="28"/>
        </w:rPr>
      </w:pPr>
      <w:r w:rsidRPr="00C55CBD">
        <w:rPr>
          <w:rFonts w:asciiTheme="minorHAnsi" w:hAnsiTheme="minorHAnsi" w:cstheme="minorHAnsi"/>
          <w:sz w:val="28"/>
        </w:rPr>
        <w:t>O quadro a seguir apresenta a distribuição das manifestações registradas no Sistema da Ouvidoria-Geral do Tribunal de Justiça de Pernambuco, segmentadas por natureza, em comparação entre os biênios 2022–2024 e 2024–2026.</w:t>
      </w:r>
    </w:p>
    <w:p w:rsidR="00C55CBD" w:rsidRPr="00C55CBD" w:rsidRDefault="00C55CBD" w:rsidP="00C55CBD">
      <w:pPr>
        <w:widowControl/>
        <w:autoSpaceDE/>
        <w:autoSpaceDN/>
        <w:spacing w:before="100" w:beforeAutospacing="1" w:after="100" w:afterAutospacing="1"/>
        <w:ind w:left="2268"/>
        <w:rPr>
          <w:rFonts w:asciiTheme="minorHAnsi" w:eastAsia="Times New Roman" w:hAnsiTheme="minorHAnsi" w:cstheme="minorHAnsi"/>
          <w:sz w:val="28"/>
          <w:szCs w:val="24"/>
          <w:lang w:val="pt-BR" w:eastAsia="pt-BR"/>
        </w:rPr>
      </w:pPr>
      <w:r w:rsidRPr="00C55CBD">
        <w:rPr>
          <w:rFonts w:asciiTheme="minorHAnsi" w:eastAsia="Times New Roman" w:hAnsiTheme="minorHAnsi" w:cstheme="minorHAnsi"/>
          <w:b/>
          <w:bCs/>
          <w:sz w:val="28"/>
          <w:szCs w:val="24"/>
          <w:lang w:val="pt-BR" w:eastAsia="pt-BR"/>
        </w:rPr>
        <w:t>Quadro comparativo</w:t>
      </w:r>
    </w:p>
    <w:tbl>
      <w:tblPr>
        <w:tblStyle w:val="TabeladeLista4"/>
        <w:tblW w:w="0" w:type="auto"/>
        <w:tblInd w:w="2263" w:type="dxa"/>
        <w:tblLook w:val="04A0" w:firstRow="1" w:lastRow="0" w:firstColumn="1" w:lastColumn="0" w:noHBand="0" w:noVBand="1"/>
      </w:tblPr>
      <w:tblGrid>
        <w:gridCol w:w="4059"/>
        <w:gridCol w:w="2670"/>
        <w:gridCol w:w="871"/>
        <w:gridCol w:w="2670"/>
        <w:gridCol w:w="871"/>
      </w:tblGrid>
      <w:tr w:rsidR="00C55CBD" w:rsidRPr="00C55CBD" w:rsidTr="00C74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8"/>
                <w:lang w:val="pt-BR" w:eastAsia="pt-BR"/>
              </w:rPr>
              <w:t>Natureza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8"/>
                <w:lang w:val="pt-BR" w:eastAsia="pt-BR"/>
              </w:rPr>
              <w:t>Biênio 2022–2024 (Total)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8"/>
                <w:lang w:val="pt-BR" w:eastAsia="pt-BR"/>
              </w:rPr>
              <w:t>%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8"/>
                <w:lang w:val="pt-BR" w:eastAsia="pt-BR"/>
              </w:rPr>
              <w:t>Biênio 2024–2026 (Total)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8"/>
                <w:lang w:val="pt-BR" w:eastAsia="pt-BR"/>
              </w:rPr>
              <w:t>%</w:t>
            </w:r>
          </w:p>
        </w:tc>
      </w:tr>
      <w:tr w:rsidR="00C55CBD" w:rsidRPr="00C55CBD" w:rsidTr="00C74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Pedidos de agilização processual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13.794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79%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18.164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82%</w:t>
            </w:r>
          </w:p>
        </w:tc>
      </w:tr>
      <w:tr w:rsidR="00C55CBD" w:rsidRPr="00C55CBD" w:rsidTr="00C749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Solicitações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1.852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10%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1.989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9%</w:t>
            </w:r>
          </w:p>
        </w:tc>
      </w:tr>
      <w:tr w:rsidR="00C55CBD" w:rsidRPr="00C55CBD" w:rsidTr="00C74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Reclamações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1.206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7%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1.368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6%</w:t>
            </w:r>
          </w:p>
        </w:tc>
      </w:tr>
      <w:tr w:rsidR="00C55CBD" w:rsidRPr="00C55CBD" w:rsidTr="00C749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Lei de Acesso à Informação (LAI)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245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1,5%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331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1%</w:t>
            </w:r>
          </w:p>
        </w:tc>
      </w:tr>
      <w:tr w:rsidR="00C55CBD" w:rsidRPr="00C55CBD" w:rsidTr="00C74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Elogios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121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0,6%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111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0,5%</w:t>
            </w:r>
          </w:p>
        </w:tc>
      </w:tr>
      <w:tr w:rsidR="00C55CBD" w:rsidRPr="00C55CBD" w:rsidTr="00C749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Lei Geral de Proteção de Dados (LGPD)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74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0,5%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101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0,4%</w:t>
            </w:r>
          </w:p>
        </w:tc>
      </w:tr>
      <w:tr w:rsidR="00C55CBD" w:rsidRPr="00C55CBD" w:rsidTr="00C74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Denúncias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31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0,1%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77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0,3%</w:t>
            </w:r>
          </w:p>
        </w:tc>
      </w:tr>
      <w:tr w:rsidR="00C55CBD" w:rsidRPr="00C55CBD" w:rsidTr="00C749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Sugestões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18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0,1%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21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C55CBD">
              <w:rPr>
                <w:rFonts w:ascii="Cambria Math" w:eastAsia="Times New Roman" w:hAnsi="Cambria Math" w:cs="Cambria Math"/>
                <w:sz w:val="24"/>
                <w:szCs w:val="28"/>
                <w:lang w:val="pt-BR" w:eastAsia="pt-BR"/>
              </w:rPr>
              <w:t>≅</w:t>
            </w:r>
            <w:r w:rsidRPr="00C55CBD"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  <w:t>0,1%</w:t>
            </w:r>
          </w:p>
        </w:tc>
      </w:tr>
      <w:tr w:rsidR="00C55CBD" w:rsidRPr="00C55CBD" w:rsidTr="00C74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1D4E90"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8"/>
                <w:lang w:val="pt-BR" w:eastAsia="pt-BR"/>
              </w:rPr>
              <w:t>Total Geral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1D4E90">
              <w:rPr>
                <w:rFonts w:asciiTheme="minorHAnsi" w:eastAsia="Times New Roman" w:hAnsiTheme="minorHAnsi" w:cstheme="minorHAnsi"/>
                <w:b/>
                <w:bCs/>
                <w:sz w:val="24"/>
                <w:szCs w:val="28"/>
                <w:lang w:val="pt-BR" w:eastAsia="pt-BR"/>
              </w:rPr>
              <w:t>17.341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1D4E90">
              <w:rPr>
                <w:rFonts w:asciiTheme="minorHAnsi" w:eastAsia="Times New Roman" w:hAnsiTheme="minorHAnsi" w:cstheme="minorHAnsi"/>
                <w:b/>
                <w:bCs/>
                <w:sz w:val="24"/>
                <w:szCs w:val="28"/>
                <w:lang w:val="pt-BR" w:eastAsia="pt-BR"/>
              </w:rPr>
              <w:t>100%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1D4E90">
              <w:rPr>
                <w:rFonts w:asciiTheme="minorHAnsi" w:eastAsia="Times New Roman" w:hAnsiTheme="minorHAnsi" w:cstheme="minorHAnsi"/>
                <w:b/>
                <w:bCs/>
                <w:sz w:val="24"/>
                <w:szCs w:val="28"/>
                <w:lang w:val="pt-BR" w:eastAsia="pt-BR"/>
              </w:rPr>
              <w:t>22.162</w:t>
            </w:r>
          </w:p>
        </w:tc>
        <w:tc>
          <w:tcPr>
            <w:tcW w:w="0" w:type="auto"/>
            <w:hideMark/>
          </w:tcPr>
          <w:p w:rsidR="00C55CBD" w:rsidRPr="00C55CBD" w:rsidRDefault="00C55CBD" w:rsidP="00C55CBD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8"/>
                <w:lang w:val="pt-BR" w:eastAsia="pt-BR"/>
              </w:rPr>
            </w:pPr>
            <w:r w:rsidRPr="001D4E90">
              <w:rPr>
                <w:rFonts w:asciiTheme="minorHAnsi" w:eastAsia="Times New Roman" w:hAnsiTheme="minorHAnsi" w:cstheme="minorHAnsi"/>
                <w:b/>
                <w:bCs/>
                <w:sz w:val="24"/>
                <w:szCs w:val="28"/>
                <w:lang w:val="pt-BR" w:eastAsia="pt-BR"/>
              </w:rPr>
              <w:t>100%</w:t>
            </w:r>
          </w:p>
        </w:tc>
      </w:tr>
    </w:tbl>
    <w:p w:rsidR="00105605" w:rsidRPr="00105605" w:rsidRDefault="00C55CBD" w:rsidP="00773FC8">
      <w:pPr>
        <w:pStyle w:val="NormalWeb"/>
        <w:ind w:left="2268" w:right="1134"/>
        <w:jc w:val="both"/>
        <w:rPr>
          <w:rFonts w:asciiTheme="minorHAnsi" w:hAnsiTheme="minorHAnsi" w:cstheme="minorHAnsi"/>
          <w:sz w:val="28"/>
        </w:rPr>
      </w:pPr>
      <w:r>
        <w:rPr>
          <w:sz w:val="28"/>
        </w:rPr>
        <w:t xml:space="preserve"> </w:t>
      </w:r>
      <w:r w:rsidR="00105605" w:rsidRPr="00105605">
        <w:rPr>
          <w:rFonts w:asciiTheme="minorHAnsi" w:hAnsiTheme="minorHAnsi" w:cstheme="minorHAnsi"/>
          <w:sz w:val="28"/>
        </w:rPr>
        <w:t xml:space="preserve">A análise comparativa evidencia crescimento significativo do volume global de manifestações no biênio 2024–2026, com incremento de 4.821 registros em relação ao biênio anterior. Destaca-se, de modo especial, o aumento dos pedidos de agilização processual, que passaram de 13.794 para 18.164 manifestações, confirmando que a celeridade da tramitação processual permanece como a principal demanda apresentada à </w:t>
      </w:r>
      <w:proofErr w:type="spellStart"/>
      <w:r w:rsidR="00105605" w:rsidRPr="00105605">
        <w:rPr>
          <w:rFonts w:asciiTheme="minorHAnsi" w:hAnsiTheme="minorHAnsi" w:cstheme="minorHAnsi"/>
          <w:sz w:val="28"/>
        </w:rPr>
        <w:t>Ouvidoria-Geral</w:t>
      </w:r>
      <w:proofErr w:type="spellEnd"/>
      <w:r w:rsidR="00105605" w:rsidRPr="00105605">
        <w:rPr>
          <w:rFonts w:asciiTheme="minorHAnsi" w:hAnsiTheme="minorHAnsi" w:cstheme="minorHAnsi"/>
          <w:sz w:val="28"/>
        </w:rPr>
        <w:t>.</w:t>
      </w:r>
    </w:p>
    <w:p w:rsidR="00C749CA" w:rsidRPr="00CE07BC" w:rsidRDefault="00105605" w:rsidP="00FE4941">
      <w:pPr>
        <w:pStyle w:val="NormalWeb"/>
        <w:ind w:left="2268" w:right="1134"/>
        <w:jc w:val="both"/>
        <w:rPr>
          <w:rFonts w:asciiTheme="minorHAnsi" w:hAnsiTheme="minorHAnsi" w:cstheme="minorHAnsi"/>
          <w:b/>
          <w:sz w:val="28"/>
        </w:rPr>
      </w:pPr>
      <w:r w:rsidRPr="00CE07BC">
        <w:rPr>
          <w:rFonts w:asciiTheme="minorHAnsi" w:hAnsiTheme="minorHAnsi" w:cstheme="minorHAnsi"/>
          <w:b/>
          <w:sz w:val="28"/>
        </w:rPr>
        <w:t xml:space="preserve">O detalhamento completo das manifestações, por natureza e por período, encontra-se disponível nos relatórios semestrais da </w:t>
      </w:r>
      <w:proofErr w:type="spellStart"/>
      <w:r w:rsidRPr="00CE07BC">
        <w:rPr>
          <w:rFonts w:asciiTheme="minorHAnsi" w:hAnsiTheme="minorHAnsi" w:cstheme="minorHAnsi"/>
          <w:b/>
          <w:sz w:val="28"/>
        </w:rPr>
        <w:t>Ouvidoria-Geral</w:t>
      </w:r>
      <w:proofErr w:type="spellEnd"/>
      <w:r w:rsidRPr="00CE07BC">
        <w:rPr>
          <w:rFonts w:asciiTheme="minorHAnsi" w:hAnsiTheme="minorHAnsi" w:cstheme="minorHAnsi"/>
          <w:b/>
          <w:sz w:val="28"/>
        </w:rPr>
        <w:t>, publicados no portal oficial do Tribunal de Justiça de Pernambuco.</w:t>
      </w:r>
    </w:p>
    <w:p w:rsidR="00723BB2" w:rsidRPr="00B56EC1" w:rsidRDefault="00723BB2" w:rsidP="00773FC8">
      <w:pPr>
        <w:pStyle w:val="PargrafodaLista"/>
        <w:widowControl/>
        <w:numPr>
          <w:ilvl w:val="1"/>
          <w:numId w:val="7"/>
        </w:numPr>
        <w:autoSpaceDE/>
        <w:autoSpaceDN/>
        <w:spacing w:before="100" w:beforeAutospacing="1" w:after="100" w:afterAutospacing="1" w:line="259" w:lineRule="auto"/>
        <w:ind w:left="2268" w:right="1134" w:firstLine="0"/>
        <w:rPr>
          <w:u w:val="single"/>
        </w:rPr>
      </w:pPr>
      <w:r>
        <w:rPr>
          <w:rFonts w:asciiTheme="minorHAnsi" w:eastAsia="Times New Roman" w:hAnsiTheme="minorHAnsi" w:cstheme="minorHAnsi"/>
          <w:b/>
          <w:sz w:val="36"/>
          <w:szCs w:val="40"/>
          <w:u w:val="single"/>
          <w:lang w:val="pt-BR" w:eastAsia="pt-BR"/>
        </w:rPr>
        <w:t xml:space="preserve">Número </w:t>
      </w:r>
      <w:r w:rsidR="00D41686">
        <w:rPr>
          <w:rFonts w:asciiTheme="minorHAnsi" w:eastAsia="Times New Roman" w:hAnsiTheme="minorHAnsi" w:cstheme="minorHAnsi"/>
          <w:b/>
          <w:sz w:val="36"/>
          <w:szCs w:val="40"/>
          <w:u w:val="single"/>
          <w:lang w:val="pt-BR" w:eastAsia="pt-BR"/>
        </w:rPr>
        <w:t xml:space="preserve">total </w:t>
      </w:r>
      <w:r>
        <w:rPr>
          <w:rFonts w:asciiTheme="minorHAnsi" w:eastAsia="Times New Roman" w:hAnsiTheme="minorHAnsi" w:cstheme="minorHAnsi"/>
          <w:b/>
          <w:sz w:val="36"/>
          <w:szCs w:val="40"/>
          <w:u w:val="single"/>
          <w:lang w:val="pt-BR" w:eastAsia="pt-BR"/>
        </w:rPr>
        <w:t>de atendimentos por canal de comunicação: biênio 2024-2026</w:t>
      </w:r>
    </w:p>
    <w:p w:rsidR="002549B6" w:rsidRDefault="002549B6" w:rsidP="00773FC8">
      <w:pPr>
        <w:pStyle w:val="Corpodetexto"/>
        <w:ind w:right="1134"/>
        <w:rPr>
          <w:b/>
          <w:sz w:val="20"/>
        </w:rPr>
      </w:pPr>
    </w:p>
    <w:p w:rsidR="002549B6" w:rsidRPr="00264C63" w:rsidRDefault="002549B6" w:rsidP="00773FC8">
      <w:pPr>
        <w:pStyle w:val="Corpodetexto"/>
        <w:ind w:left="2268" w:right="1134"/>
        <w:jc w:val="both"/>
        <w:rPr>
          <w:rFonts w:asciiTheme="minorHAnsi" w:hAnsiTheme="minorHAnsi" w:cstheme="minorHAnsi"/>
          <w:b/>
          <w:sz w:val="20"/>
        </w:rPr>
      </w:pPr>
    </w:p>
    <w:p w:rsidR="002549B6" w:rsidRPr="00264C63" w:rsidRDefault="00264C63" w:rsidP="00773FC8">
      <w:pPr>
        <w:pStyle w:val="Corpodetexto"/>
        <w:ind w:left="2268" w:right="1134"/>
        <w:jc w:val="both"/>
        <w:rPr>
          <w:rFonts w:asciiTheme="minorHAnsi" w:hAnsiTheme="minorHAnsi" w:cstheme="minorHAnsi"/>
          <w:b/>
          <w:sz w:val="20"/>
        </w:rPr>
      </w:pPr>
      <w:r w:rsidRPr="00264C63">
        <w:rPr>
          <w:rFonts w:asciiTheme="minorHAnsi" w:hAnsiTheme="minorHAnsi" w:cstheme="minorHAnsi"/>
        </w:rPr>
        <w:t xml:space="preserve">A Ouvidoria-Geral do Tribunal de Justiça de Pernambuco mantém múltiplos canais de comunicação, assegurando amplo acesso da sociedade aos serviços prestados. No biênio 2024–2026, foram registrados </w:t>
      </w:r>
      <w:r w:rsidRPr="00264C63">
        <w:rPr>
          <w:rStyle w:val="Forte"/>
          <w:rFonts w:asciiTheme="minorHAnsi" w:hAnsiTheme="minorHAnsi" w:cstheme="minorHAnsi"/>
        </w:rPr>
        <w:t>40.129 atendimentos</w:t>
      </w:r>
      <w:r w:rsidRPr="00264C63">
        <w:rPr>
          <w:rFonts w:asciiTheme="minorHAnsi" w:hAnsiTheme="minorHAnsi" w:cstheme="minorHAnsi"/>
        </w:rPr>
        <w:t>, distribuídos entre os diversos meios de contato disponibilizados ao público, conforme demonstrado no quadro abaixo.</w:t>
      </w:r>
    </w:p>
    <w:p w:rsidR="002549B6" w:rsidRDefault="002549B6" w:rsidP="002549B6">
      <w:pPr>
        <w:pStyle w:val="Corpodetexto"/>
        <w:rPr>
          <w:b/>
          <w:sz w:val="20"/>
        </w:rPr>
      </w:pPr>
    </w:p>
    <w:p w:rsidR="002549B6" w:rsidRDefault="002549B6" w:rsidP="002549B6">
      <w:pPr>
        <w:pStyle w:val="Corpodetexto"/>
        <w:spacing w:before="36"/>
        <w:rPr>
          <w:b/>
          <w:sz w:val="20"/>
        </w:rPr>
      </w:pPr>
    </w:p>
    <w:tbl>
      <w:tblPr>
        <w:tblStyle w:val="TabeladeLista4"/>
        <w:tblW w:w="0" w:type="auto"/>
        <w:tblInd w:w="2263" w:type="dxa"/>
        <w:tblLook w:val="04A0" w:firstRow="1" w:lastRow="0" w:firstColumn="1" w:lastColumn="0" w:noHBand="0" w:noVBand="1"/>
      </w:tblPr>
      <w:tblGrid>
        <w:gridCol w:w="4771"/>
        <w:gridCol w:w="2733"/>
        <w:gridCol w:w="1267"/>
      </w:tblGrid>
      <w:tr w:rsidR="00264C63" w:rsidRPr="00264C63" w:rsidTr="00C74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4"/>
                <w:lang w:val="pt-BR" w:eastAsia="pt-BR"/>
              </w:rPr>
              <w:t>Canal de atendimento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4"/>
                <w:lang w:val="pt-BR" w:eastAsia="pt-BR"/>
              </w:rPr>
              <w:t>Número de atendimentos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4"/>
                <w:lang w:val="pt-BR" w:eastAsia="pt-BR"/>
              </w:rPr>
              <w:t>Percentual</w:t>
            </w:r>
          </w:p>
        </w:tc>
      </w:tr>
      <w:tr w:rsidR="00264C63" w:rsidRPr="00264C63" w:rsidTr="00C74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Sistema eletrônico da Ouvidoria (Sistema OG)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22.162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47,1%</w:t>
            </w:r>
          </w:p>
        </w:tc>
      </w:tr>
      <w:tr w:rsidR="00264C63" w:rsidRPr="00264C63" w:rsidTr="00C749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Telefone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7.995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28,5%</w:t>
            </w:r>
          </w:p>
        </w:tc>
      </w:tr>
      <w:tr w:rsidR="00264C63" w:rsidRPr="00264C63" w:rsidTr="00C74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WhatsApp institucional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8.128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21,9%</w:t>
            </w:r>
          </w:p>
        </w:tc>
      </w:tr>
      <w:tr w:rsidR="00264C63" w:rsidRPr="00264C63" w:rsidTr="00C749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Atendimento presencial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1.412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1,5%</w:t>
            </w:r>
          </w:p>
        </w:tc>
      </w:tr>
      <w:tr w:rsidR="00264C63" w:rsidRPr="00264C63" w:rsidTr="00C74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Balcão Virtual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432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  <w:t>0,8%</w:t>
            </w:r>
          </w:p>
        </w:tc>
      </w:tr>
      <w:tr w:rsidR="00264C63" w:rsidRPr="00264C63" w:rsidTr="00C749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b w:val="0"/>
                <w:bCs w:val="0"/>
                <w:sz w:val="24"/>
                <w:szCs w:val="24"/>
                <w:lang w:val="pt-BR" w:eastAsia="pt-BR"/>
              </w:rPr>
              <w:t>Total geral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pt-BR" w:eastAsia="pt-BR"/>
              </w:rPr>
              <w:t>40.129</w:t>
            </w:r>
          </w:p>
        </w:tc>
        <w:tc>
          <w:tcPr>
            <w:tcW w:w="0" w:type="auto"/>
            <w:hideMark/>
          </w:tcPr>
          <w:p w:rsidR="00264C63" w:rsidRPr="00264C63" w:rsidRDefault="00264C63" w:rsidP="00264C6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pt-BR"/>
              </w:rPr>
            </w:pPr>
            <w:r w:rsidRPr="00264C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pt-BR" w:eastAsia="pt-BR"/>
              </w:rPr>
              <w:t>100%</w:t>
            </w:r>
          </w:p>
        </w:tc>
      </w:tr>
    </w:tbl>
    <w:p w:rsidR="003C58A8" w:rsidRPr="003C58A8" w:rsidRDefault="003C58A8" w:rsidP="00773FC8">
      <w:pPr>
        <w:pStyle w:val="NormalWeb"/>
        <w:ind w:left="2268" w:right="1134"/>
        <w:jc w:val="both"/>
        <w:rPr>
          <w:rFonts w:asciiTheme="minorHAnsi" w:hAnsiTheme="minorHAnsi" w:cstheme="minorHAnsi"/>
          <w:sz w:val="28"/>
        </w:rPr>
      </w:pPr>
      <w:r w:rsidRPr="003C58A8">
        <w:rPr>
          <w:rFonts w:asciiTheme="minorHAnsi" w:hAnsiTheme="minorHAnsi" w:cstheme="minorHAnsi"/>
          <w:sz w:val="28"/>
        </w:rPr>
        <w:t xml:space="preserve">Observa-se que o </w:t>
      </w:r>
      <w:r w:rsidRPr="003C58A8">
        <w:rPr>
          <w:rStyle w:val="Forte"/>
          <w:rFonts w:asciiTheme="minorHAnsi" w:hAnsiTheme="minorHAnsi" w:cstheme="minorHAnsi"/>
          <w:sz w:val="28"/>
        </w:rPr>
        <w:t>Sistema OG</w:t>
      </w:r>
      <w:r w:rsidRPr="003C58A8">
        <w:rPr>
          <w:rFonts w:asciiTheme="minorHAnsi" w:hAnsiTheme="minorHAnsi" w:cstheme="minorHAnsi"/>
          <w:sz w:val="28"/>
        </w:rPr>
        <w:t xml:space="preserve"> permanece como o principal canal de registro das manifestações, representando quase metade dos atendimentos realizados. Destaca-se, ainda, o uso expressivo dos </w:t>
      </w:r>
      <w:r w:rsidRPr="003C58A8">
        <w:rPr>
          <w:rStyle w:val="Forte"/>
          <w:rFonts w:asciiTheme="minorHAnsi" w:hAnsiTheme="minorHAnsi" w:cstheme="minorHAnsi"/>
          <w:sz w:val="28"/>
        </w:rPr>
        <w:t>canais digitais e remotos (telefone e WhatsApp)</w:t>
      </w:r>
      <w:r w:rsidRPr="003C58A8">
        <w:rPr>
          <w:rFonts w:asciiTheme="minorHAnsi" w:hAnsiTheme="minorHAnsi" w:cstheme="minorHAnsi"/>
          <w:sz w:val="28"/>
        </w:rPr>
        <w:t>, que, somados, correspondem a mais de 50% dos contatos realizados, evidenciando a crescente preferência do público por meios de comunicação ágeis e acessíveis.</w:t>
      </w:r>
    </w:p>
    <w:p w:rsidR="003C58A8" w:rsidRPr="003C58A8" w:rsidRDefault="003C58A8" w:rsidP="00773FC8">
      <w:pPr>
        <w:pStyle w:val="NormalWeb"/>
        <w:ind w:left="2268" w:right="1134"/>
        <w:jc w:val="both"/>
        <w:rPr>
          <w:rFonts w:asciiTheme="minorHAnsi" w:hAnsiTheme="minorHAnsi" w:cstheme="minorHAnsi"/>
          <w:sz w:val="28"/>
        </w:rPr>
      </w:pPr>
      <w:r w:rsidRPr="003C58A8">
        <w:rPr>
          <w:rFonts w:asciiTheme="minorHAnsi" w:hAnsiTheme="minorHAnsi" w:cstheme="minorHAnsi"/>
          <w:sz w:val="28"/>
        </w:rPr>
        <w:t xml:space="preserve">O atendimento </w:t>
      </w:r>
      <w:r w:rsidRPr="003C58A8">
        <w:rPr>
          <w:rStyle w:val="Forte"/>
          <w:rFonts w:asciiTheme="minorHAnsi" w:hAnsiTheme="minorHAnsi" w:cstheme="minorHAnsi"/>
          <w:sz w:val="28"/>
        </w:rPr>
        <w:t>presencial</w:t>
      </w:r>
      <w:r w:rsidRPr="003C58A8">
        <w:rPr>
          <w:rFonts w:asciiTheme="minorHAnsi" w:hAnsiTheme="minorHAnsi" w:cstheme="minorHAnsi"/>
          <w:sz w:val="28"/>
        </w:rPr>
        <w:t xml:space="preserve"> e o </w:t>
      </w:r>
      <w:r w:rsidRPr="003C58A8">
        <w:rPr>
          <w:rStyle w:val="Forte"/>
          <w:rFonts w:asciiTheme="minorHAnsi" w:hAnsiTheme="minorHAnsi" w:cstheme="minorHAnsi"/>
          <w:sz w:val="28"/>
        </w:rPr>
        <w:t>Balcão Virtual</w:t>
      </w:r>
      <w:r w:rsidRPr="003C58A8">
        <w:rPr>
          <w:rFonts w:asciiTheme="minorHAnsi" w:hAnsiTheme="minorHAnsi" w:cstheme="minorHAnsi"/>
          <w:sz w:val="28"/>
        </w:rPr>
        <w:t xml:space="preserve"> mantêm participação residual, porém relevante, especialmente para usuários que demandam orientação individualizada ou possuem dificuldade de acesso aos meios eletrônicos.</w:t>
      </w:r>
    </w:p>
    <w:p w:rsidR="002549B6" w:rsidRDefault="002549B6" w:rsidP="002549B6">
      <w:pPr>
        <w:spacing w:line="421" w:lineRule="exact"/>
        <w:rPr>
          <w:sz w:val="36"/>
        </w:rPr>
        <w:sectPr w:rsidR="002549B6" w:rsidSect="00D41686">
          <w:pgSz w:w="16850" w:h="11920" w:orient="landscape"/>
          <w:pgMar w:top="1560" w:right="974" w:bottom="851" w:left="0" w:header="795" w:footer="0" w:gutter="0"/>
          <w:cols w:space="720"/>
        </w:sectPr>
      </w:pPr>
    </w:p>
    <w:p w:rsidR="00BF0A3E" w:rsidRPr="00447EA8" w:rsidRDefault="00BF0A3E" w:rsidP="00BF0A3E">
      <w:pPr>
        <w:pStyle w:val="Ttulo1"/>
        <w:ind w:left="0" w:firstLine="0"/>
        <w:rPr>
          <w:rFonts w:ascii="Times New Roman" w:eastAsia="Times New Roman" w:hAnsi="Times New Roman" w:cs="Times New Roman"/>
          <w:color w:val="ED7D31" w:themeColor="accent2"/>
          <w:lang w:val="pt-BR"/>
        </w:rPr>
      </w:pPr>
      <w:bookmarkStart w:id="5" w:name="_Toc220588596"/>
      <w:r w:rsidRPr="00447EA8">
        <w:rPr>
          <w:rStyle w:val="Forte"/>
          <w:b/>
          <w:bCs/>
          <w:color w:val="ED7D31" w:themeColor="accent2"/>
        </w:rPr>
        <w:t xml:space="preserve">2. PRINCIPAIS FATOS </w:t>
      </w:r>
      <w:r w:rsidR="007673E1" w:rsidRPr="00447EA8">
        <w:rPr>
          <w:rStyle w:val="Forte"/>
          <w:b/>
          <w:bCs/>
          <w:color w:val="ED7D31" w:themeColor="accent2"/>
        </w:rPr>
        <w:t>QUE MARCARAM A GESTÃO (2024–2026</w:t>
      </w:r>
      <w:r w:rsidRPr="00447EA8">
        <w:rPr>
          <w:rStyle w:val="Forte"/>
          <w:b/>
          <w:bCs/>
          <w:color w:val="ED7D31" w:themeColor="accent2"/>
        </w:rPr>
        <w:t>)</w:t>
      </w:r>
      <w:bookmarkEnd w:id="5"/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A gestão bienal 2024–2026 da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 xml:space="preserve"> do Tribunal de Justiça de Pernambuco, sob a condução do </w:t>
      </w:r>
      <w:r w:rsidRPr="002807CC">
        <w:rPr>
          <w:rFonts w:asciiTheme="minorHAnsi" w:hAnsiTheme="minorHAnsi" w:cstheme="minorHAnsi"/>
          <w:b/>
          <w:sz w:val="28"/>
          <w:szCs w:val="28"/>
        </w:rPr>
        <w:t>Desembargador Waldemir Tavares de Albuquerque Filho</w:t>
      </w:r>
      <w:r w:rsidRPr="00BF0A3E">
        <w:rPr>
          <w:rFonts w:asciiTheme="minorHAnsi" w:hAnsiTheme="minorHAnsi" w:cstheme="minorHAnsi"/>
          <w:sz w:val="28"/>
          <w:szCs w:val="28"/>
        </w:rPr>
        <w:t xml:space="preserve">, foi marcada pela </w:t>
      </w:r>
      <w:r w:rsidRPr="002807CC">
        <w:rPr>
          <w:rFonts w:asciiTheme="minorHAnsi" w:hAnsiTheme="minorHAnsi" w:cstheme="minorHAnsi"/>
          <w:b/>
          <w:sz w:val="28"/>
          <w:szCs w:val="28"/>
        </w:rPr>
        <w:t>modernização dos canais de escuta</w:t>
      </w:r>
      <w:r w:rsidRPr="00BF0A3E">
        <w:rPr>
          <w:rFonts w:asciiTheme="minorHAnsi" w:hAnsiTheme="minorHAnsi" w:cstheme="minorHAnsi"/>
          <w:sz w:val="28"/>
          <w:szCs w:val="28"/>
        </w:rPr>
        <w:t xml:space="preserve">, pela </w:t>
      </w:r>
      <w:r w:rsidRPr="002807CC">
        <w:rPr>
          <w:rFonts w:asciiTheme="minorHAnsi" w:hAnsiTheme="minorHAnsi" w:cstheme="minorHAnsi"/>
          <w:b/>
          <w:sz w:val="28"/>
          <w:szCs w:val="28"/>
        </w:rPr>
        <w:t>ampliação do diálogo institucional</w:t>
      </w:r>
      <w:r w:rsidRPr="00BF0A3E">
        <w:rPr>
          <w:rFonts w:asciiTheme="minorHAnsi" w:hAnsiTheme="minorHAnsi" w:cstheme="minorHAnsi"/>
          <w:sz w:val="28"/>
          <w:szCs w:val="28"/>
        </w:rPr>
        <w:t xml:space="preserve">, pela </w:t>
      </w:r>
      <w:r w:rsidRPr="002807CC">
        <w:rPr>
          <w:rFonts w:asciiTheme="minorHAnsi" w:hAnsiTheme="minorHAnsi" w:cstheme="minorHAnsi"/>
          <w:b/>
          <w:sz w:val="28"/>
          <w:szCs w:val="28"/>
        </w:rPr>
        <w:t>interiorização da atuação da Ouvidoria</w:t>
      </w:r>
      <w:r w:rsidRPr="00BF0A3E">
        <w:rPr>
          <w:rFonts w:asciiTheme="minorHAnsi" w:hAnsiTheme="minorHAnsi" w:cstheme="minorHAnsi"/>
          <w:sz w:val="28"/>
          <w:szCs w:val="28"/>
        </w:rPr>
        <w:t xml:space="preserve"> e pela consolidação de políticas voltadas aos direitos humanos e à transparência.</w:t>
      </w:r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O presente tópico reúne os fatos mais relevantes ocorridos ao longo dos quatro semestres da gestão, evidenciando a evolução contínua da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 xml:space="preserve"> como instrumento de aproximação entre o Poder Judiciário e a sociedade pernambucana.</w:t>
      </w:r>
    </w:p>
    <w:p w:rsidR="00BF0A3E" w:rsidRPr="00BF0A3E" w:rsidRDefault="00D90A8A" w:rsidP="00BF0A3E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BF0A3E" w:rsidRPr="00BF0A3E" w:rsidRDefault="00BF0A3E" w:rsidP="00BF0A3E">
      <w:pPr>
        <w:pStyle w:val="Ttulo2"/>
        <w:jc w:val="both"/>
        <w:rPr>
          <w:rFonts w:asciiTheme="minorHAnsi" w:hAnsiTheme="minorHAnsi" w:cstheme="minorHAnsi"/>
          <w:sz w:val="28"/>
          <w:szCs w:val="28"/>
        </w:rPr>
      </w:pPr>
      <w:bookmarkStart w:id="6" w:name="_Toc220588597"/>
      <w:r w:rsidRPr="00BF0A3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2.1 </w:t>
      </w:r>
      <w:r w:rsidRPr="00B857B6">
        <w:rPr>
          <w:rStyle w:val="Forte"/>
          <w:rFonts w:asciiTheme="minorHAnsi" w:hAnsiTheme="minorHAnsi" w:cstheme="minorHAnsi"/>
          <w:bCs w:val="0"/>
          <w:sz w:val="32"/>
          <w:szCs w:val="28"/>
        </w:rPr>
        <w:t>Estruturação e fortalecimento institucional da Ouvidoria-Geral</w:t>
      </w:r>
      <w:bookmarkEnd w:id="6"/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No primeiro semestre de 2024, foram </w:t>
      </w:r>
      <w:r w:rsidRPr="002807CC">
        <w:rPr>
          <w:rFonts w:asciiTheme="minorHAnsi" w:hAnsiTheme="minorHAnsi" w:cstheme="minorHAnsi"/>
          <w:b/>
          <w:sz w:val="28"/>
          <w:szCs w:val="28"/>
        </w:rPr>
        <w:t xml:space="preserve">empossados os novos Coordenadores da </w:t>
      </w:r>
      <w:proofErr w:type="spellStart"/>
      <w:r w:rsidRPr="002807CC">
        <w:rPr>
          <w:rFonts w:asciiTheme="minorHAnsi" w:hAnsiTheme="minorHAnsi" w:cstheme="minorHAnsi"/>
          <w:b/>
          <w:sz w:val="28"/>
          <w:szCs w:val="28"/>
        </w:rPr>
        <w:t>Ouvidoria-Geral</w:t>
      </w:r>
      <w:proofErr w:type="spellEnd"/>
      <w:r w:rsidRPr="002807CC">
        <w:rPr>
          <w:rFonts w:asciiTheme="minorHAnsi" w:hAnsiTheme="minorHAnsi" w:cstheme="minorHAnsi"/>
          <w:b/>
          <w:sz w:val="28"/>
          <w:szCs w:val="28"/>
        </w:rPr>
        <w:t xml:space="preserve"> do TJPE, em solenidade realizada no Conselho da Magistratura</w:t>
      </w:r>
      <w:r w:rsidRPr="00BF0A3E">
        <w:rPr>
          <w:rFonts w:asciiTheme="minorHAnsi" w:hAnsiTheme="minorHAnsi" w:cstheme="minorHAnsi"/>
          <w:sz w:val="28"/>
          <w:szCs w:val="28"/>
        </w:rPr>
        <w:t>, ocasião que marcou também a primeira reunião presidida pelo novo Ouvidor-Geral, Desembargador Waldemir Tavares de Albuquerque Filho.</w:t>
      </w:r>
    </w:p>
    <w:p w:rsid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lastRenderedPageBreak/>
        <w:t xml:space="preserve">Assumiram as coordenadorias temáticas as magistradas e magistrados responsáveis pelas áreas da </w:t>
      </w:r>
      <w:r w:rsidRPr="002807CC">
        <w:rPr>
          <w:rFonts w:asciiTheme="minorHAnsi" w:hAnsiTheme="minorHAnsi" w:cstheme="minorHAnsi"/>
          <w:b/>
          <w:sz w:val="28"/>
          <w:szCs w:val="28"/>
        </w:rPr>
        <w:t>Defesa das Mulheres</w:t>
      </w:r>
      <w:r w:rsidR="002807CC" w:rsidRPr="002807CC">
        <w:rPr>
          <w:rFonts w:asciiTheme="minorHAnsi" w:hAnsiTheme="minorHAnsi" w:cstheme="minorHAnsi"/>
          <w:b/>
          <w:sz w:val="28"/>
          <w:szCs w:val="28"/>
        </w:rPr>
        <w:t xml:space="preserve"> (Juíza de Direito – Dra. Roberta Viana Jardim)</w:t>
      </w:r>
      <w:r w:rsidRPr="002807CC">
        <w:rPr>
          <w:rFonts w:asciiTheme="minorHAnsi" w:hAnsiTheme="minorHAnsi" w:cstheme="minorHAnsi"/>
          <w:b/>
          <w:sz w:val="28"/>
          <w:szCs w:val="28"/>
        </w:rPr>
        <w:t>, Direitos Humanos</w:t>
      </w:r>
      <w:r w:rsidR="002807CC" w:rsidRPr="002807CC">
        <w:rPr>
          <w:rFonts w:asciiTheme="minorHAnsi" w:hAnsiTheme="minorHAnsi" w:cstheme="minorHAnsi"/>
          <w:b/>
          <w:sz w:val="28"/>
          <w:szCs w:val="28"/>
        </w:rPr>
        <w:t xml:space="preserve"> (Juíza de Direito – Dra. Laura Amélia Moreira Brennand Simões)</w:t>
      </w:r>
      <w:r w:rsidRPr="002807CC">
        <w:rPr>
          <w:rFonts w:asciiTheme="minorHAnsi" w:hAnsiTheme="minorHAnsi" w:cstheme="minorHAnsi"/>
          <w:b/>
          <w:sz w:val="28"/>
          <w:szCs w:val="28"/>
        </w:rPr>
        <w:t>, Sustentabilidade</w:t>
      </w:r>
      <w:r w:rsidR="002807CC" w:rsidRPr="002807CC">
        <w:rPr>
          <w:rFonts w:asciiTheme="minorHAnsi" w:hAnsiTheme="minorHAnsi" w:cstheme="minorHAnsi"/>
          <w:b/>
          <w:sz w:val="28"/>
          <w:szCs w:val="28"/>
        </w:rPr>
        <w:t xml:space="preserve"> Juíza de </w:t>
      </w:r>
      <w:proofErr w:type="spellStart"/>
      <w:r w:rsidR="002807CC" w:rsidRPr="002807CC">
        <w:rPr>
          <w:rFonts w:asciiTheme="minorHAnsi" w:hAnsiTheme="minorHAnsi" w:cstheme="minorHAnsi"/>
          <w:b/>
          <w:sz w:val="28"/>
          <w:szCs w:val="28"/>
        </w:rPr>
        <w:t>Direiro</w:t>
      </w:r>
      <w:proofErr w:type="spellEnd"/>
      <w:r w:rsidR="002807CC" w:rsidRPr="002807CC">
        <w:rPr>
          <w:rFonts w:asciiTheme="minorHAnsi" w:hAnsiTheme="minorHAnsi" w:cstheme="minorHAnsi"/>
          <w:b/>
          <w:sz w:val="28"/>
          <w:szCs w:val="28"/>
        </w:rPr>
        <w:t xml:space="preserve"> – Dra. Ana Roberta Souza Maciel de Lira Freitas)</w:t>
      </w:r>
      <w:r w:rsidRPr="002807CC">
        <w:rPr>
          <w:rFonts w:asciiTheme="minorHAnsi" w:hAnsiTheme="minorHAnsi" w:cstheme="minorHAnsi"/>
          <w:b/>
          <w:sz w:val="28"/>
          <w:szCs w:val="28"/>
        </w:rPr>
        <w:t>, Relacionamento com o 1º Grau</w:t>
      </w:r>
      <w:r w:rsidR="002807CC" w:rsidRPr="002807CC">
        <w:rPr>
          <w:rFonts w:asciiTheme="minorHAnsi" w:hAnsiTheme="minorHAnsi" w:cstheme="minorHAnsi"/>
          <w:b/>
          <w:sz w:val="28"/>
          <w:szCs w:val="28"/>
        </w:rPr>
        <w:t xml:space="preserve"> (Juiz de Direito – Dr. </w:t>
      </w:r>
      <w:proofErr w:type="spellStart"/>
      <w:r w:rsidR="002807CC" w:rsidRPr="002807CC">
        <w:rPr>
          <w:rFonts w:asciiTheme="minorHAnsi" w:hAnsiTheme="minorHAnsi" w:cstheme="minorHAnsi"/>
          <w:b/>
          <w:sz w:val="28"/>
          <w:szCs w:val="28"/>
        </w:rPr>
        <w:t>Laiete</w:t>
      </w:r>
      <w:proofErr w:type="spellEnd"/>
      <w:r w:rsidR="002807CC" w:rsidRPr="002807CC">
        <w:rPr>
          <w:rFonts w:asciiTheme="minorHAnsi" w:hAnsiTheme="minorHAnsi" w:cstheme="minorHAnsi"/>
          <w:b/>
          <w:sz w:val="28"/>
          <w:szCs w:val="28"/>
        </w:rPr>
        <w:t xml:space="preserve"> Jatobá Neto)</w:t>
      </w:r>
      <w:r w:rsidRPr="002807CC">
        <w:rPr>
          <w:rFonts w:asciiTheme="minorHAnsi" w:hAnsiTheme="minorHAnsi" w:cstheme="minorHAnsi"/>
          <w:b/>
          <w:sz w:val="28"/>
          <w:szCs w:val="28"/>
        </w:rPr>
        <w:t xml:space="preserve"> e Lei Geral de Proteção de Dados</w:t>
      </w:r>
      <w:r w:rsidR="002807CC" w:rsidRPr="002807CC">
        <w:rPr>
          <w:rFonts w:asciiTheme="minorHAnsi" w:hAnsiTheme="minorHAnsi" w:cstheme="minorHAnsi"/>
          <w:b/>
          <w:sz w:val="28"/>
          <w:szCs w:val="28"/>
        </w:rPr>
        <w:t xml:space="preserve"> (Juiz de Direito – Dr. Leonardo Costa de Brito)</w:t>
      </w:r>
      <w:r w:rsidRPr="002807CC">
        <w:rPr>
          <w:rFonts w:asciiTheme="minorHAnsi" w:hAnsiTheme="minorHAnsi" w:cstheme="minorHAnsi"/>
          <w:b/>
          <w:sz w:val="28"/>
          <w:szCs w:val="28"/>
        </w:rPr>
        <w:t>,</w:t>
      </w:r>
      <w:r w:rsidRPr="00BF0A3E">
        <w:rPr>
          <w:rFonts w:asciiTheme="minorHAnsi" w:hAnsiTheme="minorHAnsi" w:cstheme="minorHAnsi"/>
          <w:sz w:val="28"/>
          <w:szCs w:val="28"/>
        </w:rPr>
        <w:t xml:space="preserve"> ampliando a capacidade técnica e operacional da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>.</w:t>
      </w:r>
    </w:p>
    <w:p w:rsidR="007732BF" w:rsidRPr="00BF0A3E" w:rsidRDefault="007732BF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>
            <wp:extent cx="2886075" cy="2246885"/>
            <wp:effectExtent l="0" t="0" r="0" b="1270"/>
            <wp:docPr id="6" name="Imagem 6" descr="https://portal.tjpe.jus.br/documents/d/portal/ouvidoria-geral-de-justica-assume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ortal.tjpe.jus.br/documents/d/portal/ouvidoria-geral-de-justica-assume-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9" t="7813" r="11210"/>
                    <a:stretch/>
                  </pic:blipFill>
                  <pic:spPr bwMode="auto">
                    <a:xfrm>
                      <a:off x="0" y="0"/>
                      <a:ext cx="2895704" cy="225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Ainda no período, </w:t>
      </w:r>
      <w:r w:rsidRPr="007732BF">
        <w:rPr>
          <w:rFonts w:asciiTheme="minorHAnsi" w:hAnsiTheme="minorHAnsi" w:cstheme="minorHAnsi"/>
          <w:b/>
          <w:sz w:val="28"/>
          <w:szCs w:val="28"/>
        </w:rPr>
        <w:t>os Coordenadores passaram a integrar comissões estratégicas do Tribunal</w:t>
      </w:r>
      <w:r w:rsidRPr="00BF0A3E">
        <w:rPr>
          <w:rFonts w:asciiTheme="minorHAnsi" w:hAnsiTheme="minorHAnsi" w:cstheme="minorHAnsi"/>
          <w:sz w:val="28"/>
          <w:szCs w:val="28"/>
        </w:rPr>
        <w:t>, como a Comissão Gestora de Sustentabilidade, o Grupo de Monitoramento e Fiscalização do Sistema Carcerário e Socioeducativo (GMF) e o Comitê Gestor de Proteção de Dados Pessoais, assegurando participação ativa da Ouvidoria na formulação de políticas institucionais.</w:t>
      </w:r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No segundo semestre de 2024, foi </w:t>
      </w:r>
      <w:r w:rsidRPr="007732BF">
        <w:rPr>
          <w:rFonts w:asciiTheme="minorHAnsi" w:hAnsiTheme="minorHAnsi" w:cstheme="minorHAnsi"/>
          <w:b/>
          <w:sz w:val="28"/>
          <w:szCs w:val="28"/>
        </w:rPr>
        <w:t>designado o novo Vice-Ouvidor-Geral, Desembargador Agenor Ferreira de Lima Filho</w:t>
      </w:r>
      <w:r w:rsidRPr="00BF0A3E">
        <w:rPr>
          <w:rFonts w:asciiTheme="minorHAnsi" w:hAnsiTheme="minorHAnsi" w:cstheme="minorHAnsi"/>
          <w:sz w:val="28"/>
          <w:szCs w:val="28"/>
        </w:rPr>
        <w:t xml:space="preserve">, reforçando a </w:t>
      </w:r>
      <w:r w:rsidRPr="00BF0A3E">
        <w:rPr>
          <w:rFonts w:asciiTheme="minorHAnsi" w:hAnsiTheme="minorHAnsi" w:cstheme="minorHAnsi"/>
          <w:sz w:val="28"/>
          <w:szCs w:val="28"/>
        </w:rPr>
        <w:lastRenderedPageBreak/>
        <w:t xml:space="preserve">estrutura de gestão do Órgão e contribuindo para a continuidade dos trabalhos administrativos e estratégicos da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>.</w:t>
      </w:r>
    </w:p>
    <w:p w:rsidR="00BF0A3E" w:rsidRPr="00BF0A3E" w:rsidRDefault="00D90A8A" w:rsidP="00BF0A3E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BF0A3E" w:rsidRPr="00BF0A3E" w:rsidRDefault="00BF0A3E" w:rsidP="00BF0A3E">
      <w:pPr>
        <w:pStyle w:val="Ttulo2"/>
        <w:jc w:val="both"/>
        <w:rPr>
          <w:rFonts w:asciiTheme="minorHAnsi" w:hAnsiTheme="minorHAnsi" w:cstheme="minorHAnsi"/>
          <w:sz w:val="28"/>
          <w:szCs w:val="28"/>
        </w:rPr>
      </w:pPr>
      <w:bookmarkStart w:id="7" w:name="_Toc220588598"/>
      <w:r w:rsidRPr="00BF0A3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2.2 </w:t>
      </w:r>
      <w:r w:rsidRPr="00B857B6">
        <w:rPr>
          <w:rStyle w:val="Forte"/>
          <w:rFonts w:asciiTheme="minorHAnsi" w:hAnsiTheme="minorHAnsi" w:cstheme="minorHAnsi"/>
          <w:bCs w:val="0"/>
          <w:sz w:val="32"/>
          <w:szCs w:val="28"/>
        </w:rPr>
        <w:t>Projetos de modernização e ampliação dos canais de atendimento</w:t>
      </w:r>
      <w:bookmarkEnd w:id="7"/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Ao longo de 2024, foram concebidos e implementados projetos destinados a modernizar os canais de comunicação entre o TJPE e a sociedade. Destacam-se o desenvolvimento do projeto </w:t>
      </w:r>
      <w:r w:rsidRPr="007732BF">
        <w:rPr>
          <w:rFonts w:asciiTheme="minorHAnsi" w:hAnsiTheme="minorHAnsi" w:cstheme="minorHAnsi"/>
          <w:b/>
          <w:sz w:val="28"/>
          <w:szCs w:val="28"/>
        </w:rPr>
        <w:t>“Ouvidoria Rápida”</w:t>
      </w:r>
      <w:r w:rsidRPr="00BF0A3E">
        <w:rPr>
          <w:rFonts w:asciiTheme="minorHAnsi" w:hAnsiTheme="minorHAnsi" w:cstheme="minorHAnsi"/>
          <w:sz w:val="28"/>
          <w:szCs w:val="28"/>
        </w:rPr>
        <w:t xml:space="preserve">, com implantação de </w:t>
      </w:r>
      <w:proofErr w:type="spellStart"/>
      <w:r w:rsidRPr="007732BF">
        <w:rPr>
          <w:rFonts w:asciiTheme="minorHAnsi" w:hAnsiTheme="minorHAnsi" w:cstheme="minorHAnsi"/>
          <w:b/>
          <w:sz w:val="28"/>
          <w:szCs w:val="28"/>
        </w:rPr>
        <w:t>chatbot</w:t>
      </w:r>
      <w:proofErr w:type="spellEnd"/>
      <w:r w:rsidRPr="007732BF">
        <w:rPr>
          <w:rFonts w:asciiTheme="minorHAnsi" w:hAnsiTheme="minorHAnsi" w:cstheme="minorHAnsi"/>
          <w:b/>
          <w:sz w:val="28"/>
          <w:szCs w:val="28"/>
        </w:rPr>
        <w:t xml:space="preserve"> institucional</w:t>
      </w:r>
      <w:r w:rsidRPr="00BF0A3E">
        <w:rPr>
          <w:rFonts w:asciiTheme="minorHAnsi" w:hAnsiTheme="minorHAnsi" w:cstheme="minorHAnsi"/>
          <w:sz w:val="28"/>
          <w:szCs w:val="28"/>
        </w:rPr>
        <w:t xml:space="preserve"> para prestação de informações imediatas ao público; o projeto </w:t>
      </w:r>
      <w:r w:rsidRPr="007732BF">
        <w:rPr>
          <w:rFonts w:asciiTheme="minorHAnsi" w:hAnsiTheme="minorHAnsi" w:cstheme="minorHAnsi"/>
          <w:b/>
          <w:sz w:val="28"/>
          <w:szCs w:val="28"/>
        </w:rPr>
        <w:t>“Ouvidoria Atenta”</w:t>
      </w:r>
      <w:r w:rsidRPr="00BF0A3E">
        <w:rPr>
          <w:rFonts w:asciiTheme="minorHAnsi" w:hAnsiTheme="minorHAnsi" w:cstheme="minorHAnsi"/>
          <w:sz w:val="28"/>
          <w:szCs w:val="28"/>
        </w:rPr>
        <w:t xml:space="preserve">, responsável pela </w:t>
      </w:r>
      <w:r w:rsidRPr="007732BF">
        <w:rPr>
          <w:rFonts w:asciiTheme="minorHAnsi" w:hAnsiTheme="minorHAnsi" w:cstheme="minorHAnsi"/>
          <w:b/>
          <w:sz w:val="28"/>
          <w:szCs w:val="28"/>
        </w:rPr>
        <w:t>atualização integral dos contatos das unidades judiciais e administrativas do Tribunal;</w:t>
      </w:r>
      <w:r w:rsidRPr="00BF0A3E">
        <w:rPr>
          <w:rFonts w:asciiTheme="minorHAnsi" w:hAnsiTheme="minorHAnsi" w:cstheme="minorHAnsi"/>
          <w:sz w:val="28"/>
          <w:szCs w:val="28"/>
        </w:rPr>
        <w:t xml:space="preserve"> o projeto </w:t>
      </w:r>
      <w:r w:rsidRPr="007732BF">
        <w:rPr>
          <w:rFonts w:asciiTheme="minorHAnsi" w:hAnsiTheme="minorHAnsi" w:cstheme="minorHAnsi"/>
          <w:b/>
          <w:sz w:val="28"/>
          <w:szCs w:val="28"/>
        </w:rPr>
        <w:t>“Ouvidoria Ocupa”,</w:t>
      </w:r>
      <w:r w:rsidRPr="00BF0A3E">
        <w:rPr>
          <w:rFonts w:asciiTheme="minorHAnsi" w:hAnsiTheme="minorHAnsi" w:cstheme="minorHAnsi"/>
          <w:sz w:val="28"/>
          <w:szCs w:val="28"/>
        </w:rPr>
        <w:t xml:space="preserve"> que promoveu a inclusão do sistema da Ouvidoria no aplicativo TJPE+, ampliando os meios de acesso ao Órgão; e o projeto </w:t>
      </w:r>
      <w:r w:rsidRPr="007732BF">
        <w:rPr>
          <w:rFonts w:asciiTheme="minorHAnsi" w:hAnsiTheme="minorHAnsi" w:cstheme="minorHAnsi"/>
          <w:b/>
          <w:sz w:val="28"/>
          <w:szCs w:val="28"/>
        </w:rPr>
        <w:t>“Ouvidoria Atualizada”,</w:t>
      </w:r>
      <w:r w:rsidRPr="00BF0A3E">
        <w:rPr>
          <w:rFonts w:asciiTheme="minorHAnsi" w:hAnsiTheme="minorHAnsi" w:cstheme="minorHAnsi"/>
          <w:sz w:val="28"/>
          <w:szCs w:val="28"/>
        </w:rPr>
        <w:t xml:space="preserve"> que reorganizou e modernizou a página institucional de certidões.</w:t>
      </w:r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>Essas iniciativas resultaram em maior acessibilidade, agilidade na prestação de informações e fortalecimento da transparência institucional.</w:t>
      </w:r>
    </w:p>
    <w:p w:rsidR="00BF0A3E" w:rsidRPr="00BF0A3E" w:rsidRDefault="00D90A8A" w:rsidP="00BF0A3E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BF0A3E" w:rsidRPr="00BF0A3E" w:rsidRDefault="00BF0A3E" w:rsidP="00BF0A3E">
      <w:pPr>
        <w:pStyle w:val="Ttulo2"/>
        <w:jc w:val="both"/>
        <w:rPr>
          <w:rFonts w:asciiTheme="minorHAnsi" w:hAnsiTheme="minorHAnsi" w:cstheme="minorHAnsi"/>
          <w:sz w:val="28"/>
          <w:szCs w:val="28"/>
        </w:rPr>
      </w:pPr>
      <w:bookmarkStart w:id="8" w:name="_Toc220588599"/>
      <w:r w:rsidRPr="00BF0A3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2.3 </w:t>
      </w:r>
      <w:r w:rsidRPr="00B857B6">
        <w:rPr>
          <w:rStyle w:val="Forte"/>
          <w:rFonts w:asciiTheme="minorHAnsi" w:hAnsiTheme="minorHAnsi" w:cstheme="minorHAnsi"/>
          <w:bCs w:val="0"/>
          <w:sz w:val="32"/>
          <w:szCs w:val="28"/>
        </w:rPr>
        <w:t>Criação e consolidação da Ouvidoria da Mulher</w:t>
      </w:r>
      <w:bookmarkEnd w:id="8"/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No segundo semestre de 2024, por decisão do Conselho da Magistratura e ratificação do Órgão Especial, </w:t>
      </w:r>
      <w:r w:rsidRPr="004A686A">
        <w:rPr>
          <w:rFonts w:asciiTheme="minorHAnsi" w:hAnsiTheme="minorHAnsi" w:cstheme="minorHAnsi"/>
          <w:b/>
          <w:sz w:val="28"/>
          <w:szCs w:val="28"/>
        </w:rPr>
        <w:t>foi instituída a Ouvidoria da Mulher do Tribunal de Justiça de Pernambuco</w:t>
      </w:r>
      <w:r w:rsidRPr="00BF0A3E">
        <w:rPr>
          <w:rFonts w:asciiTheme="minorHAnsi" w:hAnsiTheme="minorHAnsi" w:cstheme="minorHAnsi"/>
          <w:sz w:val="28"/>
          <w:szCs w:val="28"/>
        </w:rPr>
        <w:t xml:space="preserve">, com alteração do Regimento Interno da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>.</w:t>
      </w:r>
    </w:p>
    <w:p w:rsid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Por meio de Portaria específica, o </w:t>
      </w:r>
      <w:r w:rsidRPr="004A686A">
        <w:rPr>
          <w:rFonts w:asciiTheme="minorHAnsi" w:hAnsiTheme="minorHAnsi" w:cstheme="minorHAnsi"/>
          <w:b/>
          <w:sz w:val="28"/>
          <w:szCs w:val="28"/>
        </w:rPr>
        <w:t>Ouvidor-Geral designou a Exma. Dra. Roberta Viana Jardim como primeira Ouvidora da Mulher do TJPE,</w:t>
      </w:r>
      <w:r w:rsidRPr="00BF0A3E">
        <w:rPr>
          <w:rFonts w:asciiTheme="minorHAnsi" w:hAnsiTheme="minorHAnsi" w:cstheme="minorHAnsi"/>
          <w:sz w:val="28"/>
          <w:szCs w:val="28"/>
        </w:rPr>
        <w:t xml:space="preserve"> criando canal especializado de acolhimento, orientação e escuta sensível às demandas relacionadas aos direitos das mulheres.</w:t>
      </w:r>
    </w:p>
    <w:p w:rsidR="004A686A" w:rsidRPr="00BF0A3E" w:rsidRDefault="004A686A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>
            <wp:extent cx="3305175" cy="1639433"/>
            <wp:effectExtent l="0" t="0" r="0" b="0"/>
            <wp:docPr id="9" name="Imagem 9" descr="https://portal.tjpe.jus.br/documents/d/portal/encontro-nacional-ouvidoria-mulher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ortal.tjpe.jus.br/documents/d/portal/encontro-nacional-ouvidoria-mulher-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1" t="17022" r="6156" b="16377"/>
                    <a:stretch/>
                  </pic:blipFill>
                  <pic:spPr bwMode="auto">
                    <a:xfrm>
                      <a:off x="0" y="0"/>
                      <a:ext cx="3360550" cy="16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No decorrer de 2025, a Ouvidoria da Mulher foi consolidada como política institucional permanente. </w:t>
      </w:r>
      <w:r w:rsidRPr="004A686A">
        <w:rPr>
          <w:rFonts w:asciiTheme="minorHAnsi" w:hAnsiTheme="minorHAnsi" w:cstheme="minorHAnsi"/>
          <w:b/>
          <w:sz w:val="28"/>
          <w:szCs w:val="28"/>
        </w:rPr>
        <w:t xml:space="preserve">Em dezembro de 2025, foram empossadas a Dra. Laura Brennand Simões como nova Ouvidora da Mulher e a Dra. Ana Borba como Coordenadora da Pasta de Direitos Humanos da </w:t>
      </w:r>
      <w:proofErr w:type="spellStart"/>
      <w:r w:rsidRPr="004A686A">
        <w:rPr>
          <w:rFonts w:asciiTheme="minorHAnsi" w:hAnsiTheme="minorHAnsi" w:cstheme="minorHAnsi"/>
          <w:b/>
          <w:sz w:val="28"/>
          <w:szCs w:val="28"/>
        </w:rPr>
        <w:t>Ouvidoria-Geral</w:t>
      </w:r>
      <w:proofErr w:type="spellEnd"/>
      <w:r w:rsidRPr="004A686A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Pr="00BF0A3E">
        <w:rPr>
          <w:rFonts w:asciiTheme="minorHAnsi" w:hAnsiTheme="minorHAnsi" w:cstheme="minorHAnsi"/>
          <w:sz w:val="28"/>
          <w:szCs w:val="28"/>
        </w:rPr>
        <w:t>Na ocasião, registrou-se agradecimento à Dra. Roberta Viana Jardim por sua atuação pioneira na estruturação da Ouvidoria especializada.</w:t>
      </w:r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O portal oficial da Ouvidoria da Mulher passou a disponibilizar informações e conteúdos especializados, ampliando o acesso da </w:t>
      </w:r>
      <w:r w:rsidRPr="00BF0A3E">
        <w:rPr>
          <w:rFonts w:asciiTheme="minorHAnsi" w:hAnsiTheme="minorHAnsi" w:cstheme="minorHAnsi"/>
          <w:sz w:val="28"/>
          <w:szCs w:val="28"/>
        </w:rPr>
        <w:lastRenderedPageBreak/>
        <w:t>sociedade às políticas institucionais de proteção e promoção dos direitos das mulheres.</w:t>
      </w:r>
    </w:p>
    <w:p w:rsidR="00BF0A3E" w:rsidRPr="00BF0A3E" w:rsidRDefault="00D90A8A" w:rsidP="00BF0A3E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BF0A3E" w:rsidRPr="00BF0A3E" w:rsidRDefault="00BF0A3E" w:rsidP="00BF0A3E">
      <w:pPr>
        <w:pStyle w:val="Ttulo2"/>
        <w:jc w:val="both"/>
        <w:rPr>
          <w:rFonts w:asciiTheme="minorHAnsi" w:hAnsiTheme="minorHAnsi" w:cstheme="minorHAnsi"/>
          <w:sz w:val="28"/>
          <w:szCs w:val="28"/>
        </w:rPr>
      </w:pPr>
      <w:bookmarkStart w:id="9" w:name="_Toc220588600"/>
      <w:r w:rsidRPr="00BF0A3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2.4 </w:t>
      </w:r>
      <w:r w:rsidRPr="00B857B6">
        <w:rPr>
          <w:rStyle w:val="Forte"/>
          <w:rFonts w:asciiTheme="minorHAnsi" w:hAnsiTheme="minorHAnsi" w:cstheme="minorHAnsi"/>
          <w:bCs w:val="0"/>
          <w:sz w:val="32"/>
          <w:szCs w:val="28"/>
        </w:rPr>
        <w:t>Articulação institucional e participação em redes de Ouvidorias</w:t>
      </w:r>
      <w:bookmarkEnd w:id="9"/>
    </w:p>
    <w:p w:rsid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Durante os anos de 2024 e 2025, a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 xml:space="preserve"> do TJPE intensificou sua atuação em articulações interinstitucionais. Foram realizadas visitas institucionais à Ouvidoria do Ministério Público de Pernambuco e à Ouvidoria da Defensoria Pública de Pernambuco, </w:t>
      </w:r>
      <w:r w:rsidR="0098086F">
        <w:rPr>
          <w:rFonts w:asciiTheme="minorHAnsi" w:hAnsiTheme="minorHAnsi" w:cstheme="minorHAnsi"/>
          <w:sz w:val="28"/>
          <w:szCs w:val="28"/>
        </w:rPr>
        <w:t xml:space="preserve">assim como, recebida a equipe da </w:t>
      </w:r>
      <w:proofErr w:type="spellStart"/>
      <w:r w:rsidR="0098086F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="0098086F">
        <w:rPr>
          <w:rFonts w:asciiTheme="minorHAnsi" w:hAnsiTheme="minorHAnsi" w:cstheme="minorHAnsi"/>
          <w:sz w:val="28"/>
          <w:szCs w:val="28"/>
        </w:rPr>
        <w:t xml:space="preserve"> da Ordem dos Advogados do Brasil – Seccional Pernambuco, </w:t>
      </w:r>
      <w:r w:rsidRPr="00BF0A3E">
        <w:rPr>
          <w:rFonts w:asciiTheme="minorHAnsi" w:hAnsiTheme="minorHAnsi" w:cstheme="minorHAnsi"/>
          <w:sz w:val="28"/>
          <w:szCs w:val="28"/>
        </w:rPr>
        <w:t>com o objetivo de estabelecer parcerias voltadas à ampliação do acesso à Justiça e à melhoria dos serviços públicos.</w:t>
      </w:r>
    </w:p>
    <w:p w:rsidR="004A686A" w:rsidRDefault="004A686A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>
            <wp:extent cx="2364954" cy="1533525"/>
            <wp:effectExtent l="0" t="0" r="0" b="0"/>
            <wp:docPr id="7" name="Imagem 7" descr="https://portal.tjpe.jus.br/documents/d/portal/ouvidoria-0-1024x664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portal.tjpe.jus.br/documents/d/portal/ouvidoria-0-1024x664-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590" cy="155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86F" w:rsidRPr="00BF0A3E" w:rsidRDefault="0098086F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>
            <wp:extent cx="2533650" cy="1689100"/>
            <wp:effectExtent l="0" t="0" r="0" b="6350"/>
            <wp:docPr id="713" name="Imagem 713" descr="https://portal.tjpe.jus.br/documents/d/portal/ouvidoria-oab-pe-e-tjpe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portal.tjpe.jus.br/documents/d/portal/ouvidoria-oab-pe-e-tjpe-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11" cy="169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A Ouvidoria também participou ativamente da Rede Pernambucana de Ouvidorias Públicas e Afins (Rede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Ouvir-PE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>), integrando sua nova coordenação em 2025, reforçando o compromisso com a cooperação entre órgãos públicos e o fortalecimento do controle social.</w:t>
      </w:r>
    </w:p>
    <w:p w:rsidR="004A686A" w:rsidRPr="00BF0A3E" w:rsidRDefault="004A686A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>
            <wp:extent cx="2476499" cy="1485900"/>
            <wp:effectExtent l="0" t="0" r="635" b="0"/>
            <wp:docPr id="8" name="Imagem 8" descr="https://portal.tjpe.jus.br/documents/d/portal/ouvidoria-flavia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portal.tjpe.jus.br/documents/d/portal/ouvidoria-flavia-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755" cy="149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3E" w:rsidRPr="00BF0A3E" w:rsidRDefault="00D90A8A" w:rsidP="00BF0A3E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pict>
          <v:rect id="_x0000_i1029" style="width:0;height:1.5pt" o:hralign="center" o:hrstd="t" o:hr="t" fillcolor="#a0a0a0" stroked="f"/>
        </w:pict>
      </w:r>
    </w:p>
    <w:p w:rsidR="00BF0A3E" w:rsidRPr="00BF0A3E" w:rsidRDefault="00BF0A3E" w:rsidP="00BF0A3E">
      <w:pPr>
        <w:pStyle w:val="Ttulo2"/>
        <w:jc w:val="both"/>
        <w:rPr>
          <w:rFonts w:asciiTheme="minorHAnsi" w:hAnsiTheme="minorHAnsi" w:cstheme="minorHAnsi"/>
          <w:sz w:val="28"/>
          <w:szCs w:val="28"/>
        </w:rPr>
      </w:pPr>
      <w:bookmarkStart w:id="10" w:name="_Toc220588601"/>
      <w:r w:rsidRPr="00BF0A3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2.5 </w:t>
      </w:r>
      <w:r w:rsidRPr="00B857B6">
        <w:rPr>
          <w:rStyle w:val="Forte"/>
          <w:rFonts w:asciiTheme="minorHAnsi" w:hAnsiTheme="minorHAnsi" w:cstheme="minorHAnsi"/>
          <w:bCs w:val="0"/>
          <w:sz w:val="32"/>
          <w:szCs w:val="28"/>
        </w:rPr>
        <w:t>Participação e protagonismo nos encontros nacionais de Ouvidorias</w:t>
      </w:r>
      <w:bookmarkEnd w:id="10"/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A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 xml:space="preserve"> do TJPE marcou presença constante nos encontros nacionais de Ouvidorias Judiciais.</w:t>
      </w:r>
    </w:p>
    <w:p w:rsid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Em 2024, </w:t>
      </w:r>
      <w:r w:rsidRPr="004A686A">
        <w:rPr>
          <w:rFonts w:asciiTheme="minorHAnsi" w:hAnsiTheme="minorHAnsi" w:cstheme="minorHAnsi"/>
          <w:b/>
          <w:sz w:val="28"/>
          <w:szCs w:val="28"/>
        </w:rPr>
        <w:t>o Ouvidor-Geral participou do X e XI</w:t>
      </w:r>
      <w:r w:rsidR="006F2424">
        <w:rPr>
          <w:rFonts w:asciiTheme="minorHAnsi" w:hAnsiTheme="minorHAnsi" w:cstheme="minorHAnsi"/>
          <w:b/>
          <w:sz w:val="28"/>
          <w:szCs w:val="28"/>
        </w:rPr>
        <w:t xml:space="preserve"> e, em 2025, do XIII</w:t>
      </w:r>
      <w:r w:rsidRPr="004A686A">
        <w:rPr>
          <w:rFonts w:asciiTheme="minorHAnsi" w:hAnsiTheme="minorHAnsi" w:cstheme="minorHAnsi"/>
          <w:b/>
          <w:sz w:val="28"/>
          <w:szCs w:val="28"/>
        </w:rPr>
        <w:t xml:space="preserve"> Encontros do Colégio Nacional de Ouvidores Judiciais (COJUD),</w:t>
      </w:r>
      <w:r w:rsidRPr="00BF0A3E">
        <w:rPr>
          <w:rFonts w:asciiTheme="minorHAnsi" w:hAnsiTheme="minorHAnsi" w:cstheme="minorHAnsi"/>
          <w:sz w:val="28"/>
          <w:szCs w:val="28"/>
        </w:rPr>
        <w:t xml:space="preserve"> </w:t>
      </w:r>
      <w:r w:rsidRPr="00BF0A3E">
        <w:rPr>
          <w:rFonts w:asciiTheme="minorHAnsi" w:hAnsiTheme="minorHAnsi" w:cstheme="minorHAnsi"/>
          <w:sz w:val="28"/>
          <w:szCs w:val="28"/>
        </w:rPr>
        <w:lastRenderedPageBreak/>
        <w:t xml:space="preserve">promovendo intercâmbio de boas práticas e fortalecimento da representatividade institucional. Ainda em 2024, </w:t>
      </w:r>
      <w:r w:rsidRPr="004A686A">
        <w:rPr>
          <w:rFonts w:asciiTheme="minorHAnsi" w:hAnsiTheme="minorHAnsi" w:cstheme="minorHAnsi"/>
          <w:b/>
          <w:sz w:val="28"/>
          <w:szCs w:val="28"/>
        </w:rPr>
        <w:t>a Ouvidora da Mulher representou o TJPE nos encontros do Colégio de Ouvidorias Judiciais das Mulheres (COJUM),</w:t>
      </w:r>
      <w:r w:rsidRPr="00BF0A3E">
        <w:rPr>
          <w:rFonts w:asciiTheme="minorHAnsi" w:hAnsiTheme="minorHAnsi" w:cstheme="minorHAnsi"/>
          <w:sz w:val="28"/>
          <w:szCs w:val="28"/>
        </w:rPr>
        <w:t xml:space="preserve"> contribuindo para a construção de políticas nacionais de enfrentamento à violência de gênero.</w:t>
      </w:r>
    </w:p>
    <w:p w:rsidR="003641D6" w:rsidRDefault="003641D6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>
            <wp:extent cx="2649440" cy="1619250"/>
            <wp:effectExtent l="0" t="0" r="0" b="0"/>
            <wp:docPr id="712" name="Imagem 712" descr="https://portal.tjpe.jus.br/documents/d/portal/ouvidor-no-evento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portal.tjpe.jus.br/documents/d/portal/ouvidor-no-evento-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83"/>
                    <a:stretch/>
                  </pic:blipFill>
                  <pic:spPr bwMode="auto">
                    <a:xfrm>
                      <a:off x="0" y="0"/>
                      <a:ext cx="2675933" cy="163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41D6" w:rsidRDefault="003641D6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>
            <wp:extent cx="3383700" cy="1895475"/>
            <wp:effectExtent l="0" t="0" r="7620" b="0"/>
            <wp:docPr id="710" name="Imagem 710" descr="https://portal.tjpe.jus.br/documents/d/portal/des-sertorio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portal.tjpe.jus.br/documents/d/portal/des-sertorio-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433" cy="189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1D6" w:rsidRPr="00BF0A3E" w:rsidRDefault="003641D6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>
            <wp:extent cx="2970570" cy="2228850"/>
            <wp:effectExtent l="0" t="0" r="1270" b="0"/>
            <wp:docPr id="709" name="Imagem 709" descr="https://portal.tjpe.jus.br/documents/d/portal/ouvidor-encontro-manaus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portal.tjpe.jus.br/documents/d/portal/ouvidor-encontro-manaus-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191" cy="223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3E" w:rsidRDefault="00BF0A3E" w:rsidP="00BF0A3E">
      <w:pPr>
        <w:pStyle w:val="NormalWeb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A686A">
        <w:rPr>
          <w:rFonts w:asciiTheme="minorHAnsi" w:hAnsiTheme="minorHAnsi" w:cstheme="minorHAnsi"/>
          <w:b/>
          <w:color w:val="2E74B5" w:themeColor="accent1" w:themeShade="BF"/>
          <w:sz w:val="28"/>
          <w:szCs w:val="28"/>
          <w:u w:val="single"/>
        </w:rPr>
        <w:t>No primeiro semestre de 2025, o TJPE sediou, pela primeira vez, o XII Encontro Nacional do COJUD</w:t>
      </w:r>
      <w:r w:rsidRPr="004A686A">
        <w:rPr>
          <w:rFonts w:asciiTheme="minorHAnsi" w:hAnsiTheme="minorHAnsi" w:cstheme="minorHAnsi"/>
          <w:color w:val="2E74B5" w:themeColor="accent1" w:themeShade="BF"/>
          <w:sz w:val="28"/>
          <w:szCs w:val="28"/>
        </w:rPr>
        <w:t xml:space="preserve">, </w:t>
      </w:r>
      <w:r w:rsidRPr="00BF0A3E">
        <w:rPr>
          <w:rFonts w:asciiTheme="minorHAnsi" w:hAnsiTheme="minorHAnsi" w:cstheme="minorHAnsi"/>
          <w:sz w:val="28"/>
          <w:szCs w:val="28"/>
        </w:rPr>
        <w:t xml:space="preserve">com recorde de participantes e programação acadêmica e institucional de alto nível. </w:t>
      </w:r>
      <w:r w:rsidRPr="005F4516">
        <w:rPr>
          <w:rFonts w:asciiTheme="minorHAnsi" w:hAnsiTheme="minorHAnsi" w:cstheme="minorHAnsi"/>
          <w:b/>
          <w:sz w:val="28"/>
          <w:szCs w:val="28"/>
        </w:rPr>
        <w:t xml:space="preserve">O evento representou marco histórico para a </w:t>
      </w:r>
      <w:proofErr w:type="spellStart"/>
      <w:r w:rsidRPr="005F4516">
        <w:rPr>
          <w:rFonts w:asciiTheme="minorHAnsi" w:hAnsiTheme="minorHAnsi" w:cstheme="minorHAnsi"/>
          <w:b/>
          <w:sz w:val="28"/>
          <w:szCs w:val="28"/>
        </w:rPr>
        <w:t>Ouvidoria-Geral</w:t>
      </w:r>
      <w:proofErr w:type="spellEnd"/>
      <w:r w:rsidRPr="005F4516">
        <w:rPr>
          <w:rFonts w:asciiTheme="minorHAnsi" w:hAnsiTheme="minorHAnsi" w:cstheme="minorHAnsi"/>
          <w:b/>
          <w:sz w:val="28"/>
          <w:szCs w:val="28"/>
        </w:rPr>
        <w:t>, que apresentou suas boas práticas e comemorou o décimo aniversário do colegiado nacional, projetando o TJPE no cenário nacional das Ouvidorias Judiciais.</w:t>
      </w:r>
    </w:p>
    <w:p w:rsidR="005F4516" w:rsidRDefault="00E84410" w:rsidP="00BF0A3E">
      <w:pPr>
        <w:pStyle w:val="NormalWeb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276600" cy="1890395"/>
            <wp:effectExtent l="0" t="0" r="0" b="0"/>
            <wp:docPr id="10" name="Imagem 10" descr="https://portal.tjpe.jus.br/documents/d/portal/_rcb6953-1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portal.tjpe.jus.br/documents/d/portal/_rcb6953-1-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7" t="9976" r="5851"/>
                    <a:stretch/>
                  </pic:blipFill>
                  <pic:spPr bwMode="auto">
                    <a:xfrm>
                      <a:off x="0" y="0"/>
                      <a:ext cx="3278319" cy="189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4410" w:rsidRDefault="00E84410" w:rsidP="00BF0A3E">
      <w:pPr>
        <w:pStyle w:val="NormalWeb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E84410" w:rsidRPr="005F4516" w:rsidRDefault="00E84410" w:rsidP="00BF0A3E">
      <w:pPr>
        <w:pStyle w:val="NormalWeb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731260" cy="2219325"/>
            <wp:effectExtent l="0" t="0" r="2540" b="9525"/>
            <wp:docPr id="12" name="Imagem 12" descr="https://portal.tjpe.jus.br/documents/d/portal/cojud-manha-210325-1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portal.tjpe.jus.br/documents/d/portal/cojud-manha-210325-1-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975" cy="222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>No segundo semestre de 2025, a Ouvidoria participou ainda do XIII Encontro Nacional do COJUD, do ECOJE e do VI Encontro do COJUM, reafirmando o protagonismo institucional do TJPE na consolidação das Ouvidorias como instrumentos de transparência e cidadania.</w:t>
      </w:r>
    </w:p>
    <w:p w:rsidR="00BF0A3E" w:rsidRPr="00BF0A3E" w:rsidRDefault="005F4516" w:rsidP="008F3AB0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7F6BAD">
        <w:rPr>
          <w:rFonts w:asciiTheme="minorHAnsi" w:hAnsiTheme="minorHAnsi" w:cstheme="minorHAnsi"/>
          <w:sz w:val="28"/>
        </w:rPr>
        <w:t xml:space="preserve">Ademais, em junho de 2025, </w:t>
      </w:r>
      <w:r w:rsidRPr="00E84410">
        <w:rPr>
          <w:rFonts w:asciiTheme="minorHAnsi" w:hAnsiTheme="minorHAnsi" w:cstheme="minorHAnsi"/>
          <w:b/>
          <w:sz w:val="28"/>
        </w:rPr>
        <w:t>o Regimento Interno da Ouvidoria deste Tribunal foi devidamente atualizado, passando a contemplar, de forma expressa, os procedimentos de recepção, encaminhamento e tratamento das demandas relacionadas à temática em questão.</w:t>
      </w:r>
      <w:r w:rsidR="00D90A8A">
        <w:rPr>
          <w:rFonts w:asciiTheme="minorHAnsi" w:hAnsiTheme="minorHAnsi" w:cstheme="minorHAnsi"/>
          <w:sz w:val="28"/>
          <w:szCs w:val="28"/>
        </w:rPr>
        <w:pict>
          <v:rect id="_x0000_i1030" style="width:0;height:1.5pt" o:hralign="center" o:hrstd="t" o:hr="t" fillcolor="#a0a0a0" stroked="f"/>
        </w:pict>
      </w:r>
    </w:p>
    <w:p w:rsidR="00BF0A3E" w:rsidRPr="00BF0A3E" w:rsidRDefault="00BF0A3E" w:rsidP="00BF0A3E">
      <w:pPr>
        <w:pStyle w:val="Ttulo2"/>
        <w:jc w:val="both"/>
        <w:rPr>
          <w:rFonts w:asciiTheme="minorHAnsi" w:hAnsiTheme="minorHAnsi" w:cstheme="minorHAnsi"/>
          <w:sz w:val="28"/>
          <w:szCs w:val="28"/>
        </w:rPr>
      </w:pPr>
      <w:bookmarkStart w:id="11" w:name="_Toc220588602"/>
      <w:r w:rsidRPr="00BF0A3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2.6 </w:t>
      </w:r>
      <w:r w:rsidRPr="00B857B6">
        <w:rPr>
          <w:rStyle w:val="Forte"/>
          <w:rFonts w:asciiTheme="minorHAnsi" w:hAnsiTheme="minorHAnsi" w:cstheme="minorHAnsi"/>
          <w:bCs w:val="0"/>
          <w:sz w:val="32"/>
          <w:szCs w:val="28"/>
        </w:rPr>
        <w:t>Interiorização da escuta cidadã – Projeto Ouvidoria Itinerante</w:t>
      </w:r>
      <w:bookmarkEnd w:id="11"/>
    </w:p>
    <w:p w:rsidR="00BF0A3E" w:rsidRPr="008F3AB0" w:rsidRDefault="00BF0A3E" w:rsidP="00BF0A3E">
      <w:pPr>
        <w:pStyle w:val="NormalWeb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No segundo semestre de 2025, foi desenvolvido o projeto “Ouvidoria Itinerante: Escuta que Caminha”, iniciativa idealizada pelo Ouvidor-Geral do TJPE, que </w:t>
      </w:r>
      <w:r w:rsidRPr="008F3AB0">
        <w:rPr>
          <w:rFonts w:asciiTheme="minorHAnsi" w:hAnsiTheme="minorHAnsi" w:cstheme="minorHAnsi"/>
          <w:b/>
          <w:sz w:val="28"/>
          <w:szCs w:val="28"/>
        </w:rPr>
        <w:t xml:space="preserve">levou a atuação da </w:t>
      </w:r>
      <w:proofErr w:type="spellStart"/>
      <w:r w:rsidRPr="008F3AB0">
        <w:rPr>
          <w:rFonts w:asciiTheme="minorHAnsi" w:hAnsiTheme="minorHAnsi" w:cstheme="minorHAnsi"/>
          <w:b/>
          <w:sz w:val="28"/>
          <w:szCs w:val="28"/>
        </w:rPr>
        <w:t>Ouvidoria-Geral</w:t>
      </w:r>
      <w:proofErr w:type="spellEnd"/>
      <w:r w:rsidRPr="008F3AB0">
        <w:rPr>
          <w:rFonts w:asciiTheme="minorHAnsi" w:hAnsiTheme="minorHAnsi" w:cstheme="minorHAnsi"/>
          <w:b/>
          <w:sz w:val="28"/>
          <w:szCs w:val="28"/>
        </w:rPr>
        <w:t xml:space="preserve"> aos municípios de Caruaru, Petrolândia e Araripina.</w:t>
      </w:r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>As ações promoveram encontros públicos de escuta qualificada, com a participação de magistrados, representantes da advocacia, gestores públicos, lideranças comunitárias e cidadãos, resultando na elaboração das respectivas Cartas da Ação, com encaminhamentos destinados ao aprimoramento da prestação jurisdicional em cada região.</w:t>
      </w:r>
    </w:p>
    <w:p w:rsid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A iniciativa consolidou-se como marco da interiorização da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 xml:space="preserve"> e da cultura institucional da participação social.</w:t>
      </w:r>
    </w:p>
    <w:p w:rsidR="008F3AB0" w:rsidRDefault="008F3AB0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>
            <wp:extent cx="3780155" cy="1390650"/>
            <wp:effectExtent l="0" t="0" r="0" b="0"/>
            <wp:docPr id="14" name="Imagem 14" descr="https://portal.tjpe.jus.br/documents/d/portal/ouvidoria-tjpe-em-caruaru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portal.tjpe.jus.br/documents/d/portal/ouvidoria-tjpe-em-caruaru-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90" b="19598"/>
                    <a:stretch/>
                  </pic:blipFill>
                  <pic:spPr bwMode="auto">
                    <a:xfrm>
                      <a:off x="0" y="0"/>
                      <a:ext cx="3817910" cy="140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AB0" w:rsidRPr="008F3AB0" w:rsidRDefault="008F3AB0" w:rsidP="00BF0A3E">
      <w:pPr>
        <w:pStyle w:val="NormalWeb"/>
        <w:jc w:val="both"/>
        <w:rPr>
          <w:rFonts w:asciiTheme="minorHAnsi" w:hAnsiTheme="minorHAnsi" w:cstheme="minorHAnsi"/>
          <w:sz w:val="18"/>
          <w:szCs w:val="28"/>
        </w:rPr>
      </w:pPr>
      <w:r>
        <w:rPr>
          <w:rFonts w:asciiTheme="minorHAnsi" w:hAnsiTheme="minorHAnsi" w:cstheme="minorHAnsi"/>
          <w:sz w:val="18"/>
          <w:szCs w:val="28"/>
        </w:rPr>
        <w:t>Câmara Municipal da cidade de Caruaru</w:t>
      </w:r>
    </w:p>
    <w:p w:rsidR="008F3AB0" w:rsidRDefault="008F3AB0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</w:p>
    <w:p w:rsidR="008F3AB0" w:rsidRDefault="008F3AB0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734435" cy="1628775"/>
            <wp:effectExtent l="0" t="0" r="0" b="9525"/>
            <wp:docPr id="704" name="Imagem 704" descr="https://portal.tjpe.jus.br/documents/d/portal/escuta-que-caminha-petrolandia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portal.tjpe.jus.br/documents/d/portal/escuta-que-caminha-petrolandia-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0" b="21188"/>
                    <a:stretch/>
                  </pic:blipFill>
                  <pic:spPr bwMode="auto">
                    <a:xfrm>
                      <a:off x="0" y="0"/>
                      <a:ext cx="3735070" cy="162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AB0" w:rsidRDefault="008F3AB0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18"/>
          <w:szCs w:val="28"/>
        </w:rPr>
        <w:t xml:space="preserve">Câmara Municipal da cidade de </w:t>
      </w: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42ABAD34" wp14:editId="4F206D2B">
            <wp:simplePos x="0" y="0"/>
            <wp:positionH relativeFrom="column">
              <wp:posOffset>3175</wp:posOffset>
            </wp:positionH>
            <wp:positionV relativeFrom="paragraph">
              <wp:posOffset>387985</wp:posOffset>
            </wp:positionV>
            <wp:extent cx="3876675" cy="2406015"/>
            <wp:effectExtent l="0" t="0" r="9525" b="0"/>
            <wp:wrapTight wrapText="bothSides">
              <wp:wrapPolygon edited="0">
                <wp:start x="0" y="0"/>
                <wp:lineTo x="0" y="21378"/>
                <wp:lineTo x="21547" y="21378"/>
                <wp:lineTo x="21547" y="0"/>
                <wp:lineTo x="0" y="0"/>
              </wp:wrapPolygon>
            </wp:wrapTight>
            <wp:docPr id="265" name="Imagem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WhatsApp Image 2026-01-22 at 16.10.11.jpe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" t="18899" r="7701" b="7292"/>
                    <a:stretch/>
                  </pic:blipFill>
                  <pic:spPr bwMode="auto">
                    <a:xfrm>
                      <a:off x="0" y="0"/>
                      <a:ext cx="3876675" cy="240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18"/>
          <w:szCs w:val="28"/>
        </w:rPr>
        <w:t>Petrolândia</w:t>
      </w:r>
    </w:p>
    <w:p w:rsidR="008F3AB0" w:rsidRPr="00BF0A3E" w:rsidRDefault="008F3AB0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18"/>
          <w:szCs w:val="28"/>
        </w:rPr>
        <w:t>Câmara Municipal da cidade de Araripina</w:t>
      </w:r>
    </w:p>
    <w:p w:rsidR="00BF0A3E" w:rsidRPr="00BF0A3E" w:rsidRDefault="00D90A8A" w:rsidP="00BF0A3E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pict>
          <v:rect id="_x0000_i1031" style="width:0;height:1.5pt" o:hralign="center" o:hrstd="t" o:hr="t" fillcolor="#a0a0a0" stroked="f"/>
        </w:pict>
      </w:r>
    </w:p>
    <w:p w:rsidR="00BF0A3E" w:rsidRPr="00BF0A3E" w:rsidRDefault="00BF0A3E" w:rsidP="00BF0A3E">
      <w:pPr>
        <w:pStyle w:val="Ttulo2"/>
        <w:jc w:val="both"/>
        <w:rPr>
          <w:rFonts w:asciiTheme="minorHAnsi" w:hAnsiTheme="minorHAnsi" w:cstheme="minorHAnsi"/>
          <w:sz w:val="28"/>
          <w:szCs w:val="28"/>
        </w:rPr>
      </w:pPr>
      <w:bookmarkStart w:id="12" w:name="_Toc220588603"/>
      <w:r w:rsidRPr="00BF0A3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2.7 </w:t>
      </w:r>
      <w:r w:rsidRPr="00B857B6">
        <w:rPr>
          <w:rStyle w:val="Forte"/>
          <w:rFonts w:asciiTheme="minorHAnsi" w:hAnsiTheme="minorHAnsi" w:cstheme="minorHAnsi"/>
          <w:bCs w:val="0"/>
          <w:sz w:val="32"/>
          <w:szCs w:val="28"/>
        </w:rPr>
        <w:t>Reconhecimento institucional e preservação da memória da Ouvidoria</w:t>
      </w:r>
      <w:bookmarkEnd w:id="12"/>
    </w:p>
    <w:p w:rsidR="00BF0A3E" w:rsidRDefault="00BF0A3E" w:rsidP="00BF0A3E">
      <w:pPr>
        <w:pStyle w:val="NormalWeb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Em 2025, a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 xml:space="preserve"> promoveu </w:t>
      </w:r>
      <w:r w:rsidRPr="00A23F68">
        <w:rPr>
          <w:rFonts w:asciiTheme="minorHAnsi" w:hAnsiTheme="minorHAnsi" w:cstheme="minorHAnsi"/>
          <w:b/>
          <w:sz w:val="28"/>
          <w:szCs w:val="28"/>
        </w:rPr>
        <w:t xml:space="preserve">solenidades de entrega da Medalha de Mérito Judiciário “Desembargadora Helena </w:t>
      </w:r>
      <w:proofErr w:type="spellStart"/>
      <w:r w:rsidRPr="00A23F68">
        <w:rPr>
          <w:rFonts w:asciiTheme="minorHAnsi" w:hAnsiTheme="minorHAnsi" w:cstheme="minorHAnsi"/>
          <w:b/>
          <w:sz w:val="28"/>
          <w:szCs w:val="28"/>
        </w:rPr>
        <w:t>Caúla</w:t>
      </w:r>
      <w:proofErr w:type="spellEnd"/>
      <w:r w:rsidRPr="00A23F68">
        <w:rPr>
          <w:rFonts w:asciiTheme="minorHAnsi" w:hAnsiTheme="minorHAnsi" w:cstheme="minorHAnsi"/>
          <w:b/>
          <w:sz w:val="28"/>
          <w:szCs w:val="28"/>
        </w:rPr>
        <w:t xml:space="preserve"> Reis”,</w:t>
      </w:r>
      <w:r w:rsidRPr="00BF0A3E">
        <w:rPr>
          <w:rFonts w:asciiTheme="minorHAnsi" w:hAnsiTheme="minorHAnsi" w:cstheme="minorHAnsi"/>
          <w:sz w:val="28"/>
          <w:szCs w:val="28"/>
        </w:rPr>
        <w:t xml:space="preserve"> </w:t>
      </w:r>
      <w:r w:rsidRPr="00BF0A3E">
        <w:rPr>
          <w:rFonts w:asciiTheme="minorHAnsi" w:hAnsiTheme="minorHAnsi" w:cstheme="minorHAnsi"/>
          <w:sz w:val="28"/>
          <w:szCs w:val="28"/>
        </w:rPr>
        <w:t xml:space="preserve">homenageando personalidades e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ex-Ouvidores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 xml:space="preserve"> que contribuíram para o fortalecimento da história da Ouvidoria do TJPE.</w:t>
      </w:r>
    </w:p>
    <w:p w:rsidR="00C63A4D" w:rsidRDefault="00C63A4D" w:rsidP="00BF0A3E">
      <w:pPr>
        <w:pStyle w:val="NormalWeb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735070" cy="2490047"/>
            <wp:effectExtent l="0" t="0" r="0" b="5715"/>
            <wp:docPr id="705" name="Imagem 705" descr="https://portal.tjpe.jus.br/documents/d/portal/medalha-ouvidoria-tjpe-1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portal.tjpe.jus.br/documents/d/portal/medalha-ouvidoria-tjpe-1-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49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A4D" w:rsidRDefault="00C63A4D" w:rsidP="00BF0A3E">
      <w:pPr>
        <w:pStyle w:val="NormalWeb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C63A4D" w:rsidRPr="00C63A4D" w:rsidRDefault="00C63A4D" w:rsidP="00BF0A3E">
      <w:pPr>
        <w:pStyle w:val="NormalWeb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735070" cy="2490047"/>
            <wp:effectExtent l="0" t="0" r="0" b="5715"/>
            <wp:docPr id="706" name="Imagem 706" descr="https://portal.tjpe.jus.br/documents/d/portal/medalha-ouvidoria-tjpe-2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portal.tjpe.jus.br/documents/d/portal/medalha-ouvidoria-tjpe-2-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49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lastRenderedPageBreak/>
        <w:t xml:space="preserve">No mesmo período, foi inaugurada </w:t>
      </w:r>
      <w:r w:rsidRPr="00A23F68">
        <w:rPr>
          <w:rFonts w:asciiTheme="minorHAnsi" w:hAnsiTheme="minorHAnsi" w:cstheme="minorHAnsi"/>
          <w:b/>
          <w:sz w:val="28"/>
          <w:szCs w:val="28"/>
        </w:rPr>
        <w:t>a nova Galeria dos Ouvidores</w:t>
      </w:r>
      <w:r w:rsidRPr="00BF0A3E">
        <w:rPr>
          <w:rFonts w:asciiTheme="minorHAnsi" w:hAnsiTheme="minorHAnsi" w:cstheme="minorHAnsi"/>
          <w:sz w:val="28"/>
          <w:szCs w:val="28"/>
        </w:rPr>
        <w:t xml:space="preserve"> do TJPE, espaço destinado à preservação da memória institucional e valorização das trajetórias que consolidaram a Ouvidoria como canal permanente de diálogo entre o Tribunal e a sociedade.</w:t>
      </w:r>
    </w:p>
    <w:p w:rsidR="00C63A4D" w:rsidRPr="00BF0A3E" w:rsidRDefault="00C63A4D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>
            <wp:extent cx="3735070" cy="2489835"/>
            <wp:effectExtent l="0" t="0" r="0" b="5715"/>
            <wp:docPr id="707" name="Imagem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" name="B89K013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07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A3E" w:rsidRPr="00BF0A3E" w:rsidRDefault="00D90A8A" w:rsidP="00BF0A3E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pict>
          <v:rect id="_x0000_i1032" style="width:0;height:1.5pt" o:hralign="center" o:hrstd="t" o:hr="t" fillcolor="#a0a0a0" stroked="f"/>
        </w:pict>
      </w:r>
    </w:p>
    <w:p w:rsidR="00BF0A3E" w:rsidRPr="00BF0A3E" w:rsidRDefault="00BF0A3E" w:rsidP="00BF0A3E">
      <w:pPr>
        <w:pStyle w:val="Ttulo2"/>
        <w:jc w:val="both"/>
        <w:rPr>
          <w:rFonts w:asciiTheme="minorHAnsi" w:hAnsiTheme="minorHAnsi" w:cstheme="minorHAnsi"/>
          <w:sz w:val="28"/>
          <w:szCs w:val="28"/>
        </w:rPr>
      </w:pPr>
      <w:bookmarkStart w:id="13" w:name="_Toc220588604"/>
      <w:r w:rsidRPr="00BF0A3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2.8 </w:t>
      </w:r>
      <w:r w:rsidRPr="00B857B6">
        <w:rPr>
          <w:rStyle w:val="Forte"/>
          <w:rFonts w:asciiTheme="minorHAnsi" w:hAnsiTheme="minorHAnsi" w:cstheme="minorHAnsi"/>
          <w:bCs w:val="0"/>
          <w:sz w:val="32"/>
          <w:szCs w:val="28"/>
        </w:rPr>
        <w:t>Ações sociais e escuta ativa junto à comunidade</w:t>
      </w:r>
      <w:bookmarkEnd w:id="13"/>
    </w:p>
    <w:p w:rsid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A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 xml:space="preserve"> participou de ações de atendimento direto à população, como a </w:t>
      </w:r>
      <w:r w:rsidRPr="005D2536">
        <w:rPr>
          <w:rFonts w:asciiTheme="minorHAnsi" w:hAnsiTheme="minorHAnsi" w:cstheme="minorHAnsi"/>
          <w:b/>
          <w:sz w:val="28"/>
          <w:szCs w:val="28"/>
        </w:rPr>
        <w:t xml:space="preserve">iniciativa “Ouvir e Agir”, promovida em parceria com a Rede </w:t>
      </w:r>
      <w:proofErr w:type="spellStart"/>
      <w:r w:rsidRPr="005D2536">
        <w:rPr>
          <w:rFonts w:asciiTheme="minorHAnsi" w:hAnsiTheme="minorHAnsi" w:cstheme="minorHAnsi"/>
          <w:b/>
          <w:sz w:val="28"/>
          <w:szCs w:val="28"/>
        </w:rPr>
        <w:t>Ouvir-PE</w:t>
      </w:r>
      <w:proofErr w:type="spellEnd"/>
      <w:r w:rsidRPr="005D2536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Pr="00BF0A3E">
        <w:rPr>
          <w:rFonts w:asciiTheme="minorHAnsi" w:hAnsiTheme="minorHAnsi" w:cstheme="minorHAnsi"/>
          <w:sz w:val="28"/>
          <w:szCs w:val="28"/>
        </w:rPr>
        <w:t>realizando atendimentos, orientações e registros de manifestações cidadãs, ampliando o acesso da sociedade aos serviços do Poder Judiciário.</w:t>
      </w:r>
    </w:p>
    <w:p w:rsidR="005D2536" w:rsidRPr="00BF0A3E" w:rsidRDefault="005D2536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>
            <wp:extent cx="3735070" cy="2490618"/>
            <wp:effectExtent l="0" t="0" r="0" b="5080"/>
            <wp:docPr id="708" name="Imagem 708" descr="https://portal.tjpe.jus.br/documents/d/portal/tjpe-ouvidoria-ouvir-e-agir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portal.tjpe.jus.br/documents/d/portal/tjpe-ouvidoria-ouvir-e-agir-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49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3E" w:rsidRPr="00B857B6" w:rsidRDefault="00D90A8A" w:rsidP="00BF0A3E">
      <w:pPr>
        <w:jc w:val="both"/>
        <w:rPr>
          <w:rFonts w:asciiTheme="minorHAnsi" w:hAnsiTheme="minorHAnsi" w:cstheme="minorHAnsi"/>
          <w:sz w:val="32"/>
          <w:szCs w:val="28"/>
        </w:rPr>
      </w:pPr>
      <w:r>
        <w:rPr>
          <w:rFonts w:asciiTheme="minorHAnsi" w:hAnsiTheme="minorHAnsi" w:cstheme="minorHAnsi"/>
          <w:sz w:val="32"/>
          <w:szCs w:val="28"/>
        </w:rPr>
        <w:pict>
          <v:rect id="_x0000_i1033" style="width:0;height:1.5pt" o:hralign="center" o:hrstd="t" o:hr="t" fillcolor="#a0a0a0" stroked="f"/>
        </w:pict>
      </w:r>
    </w:p>
    <w:p w:rsidR="00BF0A3E" w:rsidRPr="00B857B6" w:rsidRDefault="00BF0A3E" w:rsidP="00BF0A3E">
      <w:pPr>
        <w:pStyle w:val="Ttulo2"/>
        <w:jc w:val="both"/>
        <w:rPr>
          <w:rFonts w:asciiTheme="minorHAnsi" w:hAnsiTheme="minorHAnsi" w:cstheme="minorHAnsi"/>
          <w:sz w:val="32"/>
          <w:szCs w:val="28"/>
        </w:rPr>
      </w:pPr>
      <w:bookmarkStart w:id="14" w:name="_Toc220588605"/>
      <w:r w:rsidRPr="00B857B6">
        <w:rPr>
          <w:rStyle w:val="Forte"/>
          <w:rFonts w:asciiTheme="minorHAnsi" w:hAnsiTheme="minorHAnsi" w:cstheme="minorHAnsi"/>
          <w:b w:val="0"/>
          <w:bCs w:val="0"/>
          <w:sz w:val="32"/>
          <w:szCs w:val="28"/>
        </w:rPr>
        <w:t xml:space="preserve">2.9 </w:t>
      </w:r>
      <w:r w:rsidRPr="00B857B6">
        <w:rPr>
          <w:rStyle w:val="Forte"/>
          <w:rFonts w:asciiTheme="minorHAnsi" w:hAnsiTheme="minorHAnsi" w:cstheme="minorHAnsi"/>
          <w:bCs w:val="0"/>
          <w:sz w:val="32"/>
          <w:szCs w:val="28"/>
        </w:rPr>
        <w:t>Formação continuada e políticas de direitos humanos</w:t>
      </w:r>
      <w:bookmarkEnd w:id="14"/>
    </w:p>
    <w:p w:rsidR="00753678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A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 xml:space="preserve"> participou de </w:t>
      </w:r>
      <w:r w:rsidRPr="006F2424">
        <w:rPr>
          <w:rFonts w:asciiTheme="minorHAnsi" w:hAnsiTheme="minorHAnsi" w:cstheme="minorHAnsi"/>
          <w:b/>
          <w:sz w:val="28"/>
          <w:szCs w:val="28"/>
        </w:rPr>
        <w:t xml:space="preserve">seminários, fóruns e encontros nacionais </w:t>
      </w:r>
      <w:r w:rsidRPr="00BF0A3E">
        <w:rPr>
          <w:rFonts w:asciiTheme="minorHAnsi" w:hAnsiTheme="minorHAnsi" w:cstheme="minorHAnsi"/>
          <w:sz w:val="28"/>
          <w:szCs w:val="28"/>
        </w:rPr>
        <w:t>voltados à promoção dos direitos humanos, diversidade e enfrentamento da violência de gênero, qualificando permanentemente sua atuação em escuta sensível e atendimento especializado à população em situação de vulnerabilidade.</w:t>
      </w:r>
    </w:p>
    <w:p w:rsidR="00A93148" w:rsidRDefault="00D90A8A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pict>
          <v:rect id="_x0000_i1034" style="width:0;height:1.5pt" o:hralign="center" o:hrstd="t" o:hr="t" fillcolor="#a0a0a0" stroked="f"/>
        </w:pict>
      </w:r>
    </w:p>
    <w:p w:rsidR="00A93148" w:rsidRPr="00A93148" w:rsidRDefault="00A93148" w:rsidP="00A93148">
      <w:pPr>
        <w:pStyle w:val="Ttulo3"/>
        <w:rPr>
          <w:rFonts w:asciiTheme="minorHAnsi" w:eastAsia="Times New Roman" w:hAnsiTheme="minorHAnsi" w:cstheme="minorHAnsi"/>
          <w:sz w:val="32"/>
          <w:lang w:val="pt-BR"/>
        </w:rPr>
      </w:pPr>
      <w:bookmarkStart w:id="15" w:name="_Toc220588606"/>
      <w:r w:rsidRPr="00A93148">
        <w:rPr>
          <w:rStyle w:val="Forte"/>
          <w:rFonts w:asciiTheme="minorHAnsi" w:hAnsiTheme="minorHAnsi" w:cstheme="minorHAnsi"/>
          <w:b w:val="0"/>
          <w:bCs w:val="0"/>
          <w:sz w:val="32"/>
        </w:rPr>
        <w:t>2.10.</w:t>
      </w:r>
      <w:r w:rsidRPr="00A93148">
        <w:rPr>
          <w:rStyle w:val="Forte"/>
          <w:rFonts w:asciiTheme="minorHAnsi" w:hAnsiTheme="minorHAnsi" w:cstheme="minorHAnsi"/>
          <w:bCs w:val="0"/>
          <w:sz w:val="32"/>
        </w:rPr>
        <w:t xml:space="preserve"> </w:t>
      </w:r>
      <w:r w:rsidRPr="00A93148">
        <w:rPr>
          <w:rStyle w:val="Forte"/>
          <w:rFonts w:asciiTheme="minorHAnsi" w:hAnsiTheme="minorHAnsi" w:cstheme="minorHAnsi"/>
          <w:bCs w:val="0"/>
          <w:color w:val="2E74B5" w:themeColor="accent1" w:themeShade="BF"/>
          <w:sz w:val="32"/>
        </w:rPr>
        <w:t>Contribuição da Ouvidoria-Geral para o desempenho institucional em premiações e rankings nacionais</w:t>
      </w:r>
      <w:bookmarkEnd w:id="15"/>
    </w:p>
    <w:p w:rsidR="00A93148" w:rsidRPr="00A93148" w:rsidRDefault="00A93148" w:rsidP="00A93148">
      <w:pPr>
        <w:pStyle w:val="NormalWeb"/>
        <w:jc w:val="both"/>
        <w:rPr>
          <w:rFonts w:asciiTheme="minorHAnsi" w:hAnsiTheme="minorHAnsi" w:cstheme="minorHAnsi"/>
          <w:sz w:val="28"/>
        </w:rPr>
      </w:pPr>
      <w:r w:rsidRPr="00A93148">
        <w:rPr>
          <w:rFonts w:asciiTheme="minorHAnsi" w:hAnsiTheme="minorHAnsi" w:cstheme="minorHAnsi"/>
          <w:sz w:val="28"/>
        </w:rPr>
        <w:t xml:space="preserve">No biênio 2024–2026, a </w:t>
      </w:r>
      <w:proofErr w:type="spellStart"/>
      <w:r w:rsidRPr="00A93148">
        <w:rPr>
          <w:rFonts w:asciiTheme="minorHAnsi" w:hAnsiTheme="minorHAnsi" w:cstheme="minorHAnsi"/>
          <w:sz w:val="28"/>
        </w:rPr>
        <w:t>Ouvidoria-Geral</w:t>
      </w:r>
      <w:proofErr w:type="spellEnd"/>
      <w:r w:rsidRPr="00A93148">
        <w:rPr>
          <w:rFonts w:asciiTheme="minorHAnsi" w:hAnsiTheme="minorHAnsi" w:cstheme="minorHAnsi"/>
          <w:sz w:val="28"/>
        </w:rPr>
        <w:t xml:space="preserve"> do Tribunal de Justiça de Pernambuco desempenhou papel estratégico no fortalecimento das políticas de transparência, governança e qualidade institucional, contribuindo diretamente para o desempenho de excelência do TJPE </w:t>
      </w:r>
      <w:r w:rsidRPr="00A93148">
        <w:rPr>
          <w:rFonts w:asciiTheme="minorHAnsi" w:hAnsiTheme="minorHAnsi" w:cstheme="minorHAnsi"/>
          <w:sz w:val="28"/>
        </w:rPr>
        <w:lastRenderedPageBreak/>
        <w:t>em avaliações nacionais conduzidas por órgãos de controle e governança do Poder Judiciário e da administração pública.</w:t>
      </w:r>
    </w:p>
    <w:p w:rsidR="00A93148" w:rsidRPr="00A93148" w:rsidRDefault="00A93148" w:rsidP="00A93148">
      <w:pPr>
        <w:pStyle w:val="NormalWeb"/>
        <w:jc w:val="both"/>
        <w:rPr>
          <w:rFonts w:asciiTheme="minorHAnsi" w:hAnsiTheme="minorHAnsi" w:cstheme="minorHAnsi"/>
          <w:sz w:val="28"/>
        </w:rPr>
      </w:pPr>
      <w:r w:rsidRPr="00A93148">
        <w:rPr>
          <w:rFonts w:asciiTheme="minorHAnsi" w:hAnsiTheme="minorHAnsi" w:cstheme="minorHAnsi"/>
          <w:sz w:val="28"/>
        </w:rPr>
        <w:t xml:space="preserve">Destaca-se, inicialmente, o </w:t>
      </w:r>
      <w:r w:rsidRPr="00A93148">
        <w:rPr>
          <w:rStyle w:val="Forte"/>
          <w:rFonts w:asciiTheme="minorHAnsi" w:hAnsiTheme="minorHAnsi" w:cstheme="minorHAnsi"/>
          <w:sz w:val="28"/>
        </w:rPr>
        <w:t>Ranking da Transparência do Poder Judiciário</w:t>
      </w:r>
      <w:r w:rsidRPr="00A93148">
        <w:rPr>
          <w:rFonts w:asciiTheme="minorHAnsi" w:hAnsiTheme="minorHAnsi" w:cstheme="minorHAnsi"/>
          <w:sz w:val="28"/>
        </w:rPr>
        <w:t xml:space="preserve">, promovido anualmente pelo Conselho Nacional de Justiça (CNJ), instrumento que avalia o grau de transparência ativa e passiva dos tribunais brasileiros, considerando critérios como disponibilização de informações ao cidadão, acesso a dados públicos e funcionamento dos canais de atendimento institucional. No referido levantamento, a atuação da </w:t>
      </w:r>
      <w:proofErr w:type="spellStart"/>
      <w:r w:rsidRPr="00A93148">
        <w:rPr>
          <w:rFonts w:asciiTheme="minorHAnsi" w:hAnsiTheme="minorHAnsi" w:cstheme="minorHAnsi"/>
          <w:sz w:val="28"/>
        </w:rPr>
        <w:t>Ouvidoria-Geral</w:t>
      </w:r>
      <w:proofErr w:type="spellEnd"/>
      <w:r w:rsidRPr="00A93148">
        <w:rPr>
          <w:rFonts w:asciiTheme="minorHAnsi" w:hAnsiTheme="minorHAnsi" w:cstheme="minorHAnsi"/>
          <w:sz w:val="28"/>
        </w:rPr>
        <w:t xml:space="preserve"> — especialmente na gestão das manifestações, no cumprimento dos prazos de resposta e na qualificação do atendimento ao público — contribuiu para que o TJPE alcançasse </w:t>
      </w:r>
      <w:r w:rsidRPr="00A93148">
        <w:rPr>
          <w:rStyle w:val="Forte"/>
          <w:rFonts w:asciiTheme="minorHAnsi" w:hAnsiTheme="minorHAnsi" w:cstheme="minorHAnsi"/>
          <w:sz w:val="28"/>
        </w:rPr>
        <w:t>pontuação máxima nos indicadores relacionados à excelência dos serviços de ouvidoria</w:t>
      </w:r>
      <w:r w:rsidRPr="00A93148">
        <w:rPr>
          <w:rFonts w:asciiTheme="minorHAnsi" w:hAnsiTheme="minorHAnsi" w:cstheme="minorHAnsi"/>
          <w:sz w:val="28"/>
        </w:rPr>
        <w:t>.</w:t>
      </w:r>
    </w:p>
    <w:p w:rsidR="00A93148" w:rsidRPr="00A93148" w:rsidRDefault="00A93148" w:rsidP="00A93148">
      <w:pPr>
        <w:pStyle w:val="NormalWeb"/>
        <w:jc w:val="both"/>
        <w:rPr>
          <w:rFonts w:asciiTheme="minorHAnsi" w:hAnsiTheme="minorHAnsi" w:cstheme="minorHAnsi"/>
          <w:sz w:val="28"/>
        </w:rPr>
      </w:pPr>
      <w:r w:rsidRPr="00A93148">
        <w:rPr>
          <w:rFonts w:asciiTheme="minorHAnsi" w:hAnsiTheme="minorHAnsi" w:cstheme="minorHAnsi"/>
          <w:sz w:val="28"/>
        </w:rPr>
        <w:t xml:space="preserve">Igualmente relevante foi a contribuição da </w:t>
      </w:r>
      <w:proofErr w:type="spellStart"/>
      <w:r w:rsidRPr="00A93148">
        <w:rPr>
          <w:rFonts w:asciiTheme="minorHAnsi" w:hAnsiTheme="minorHAnsi" w:cstheme="minorHAnsi"/>
          <w:sz w:val="28"/>
        </w:rPr>
        <w:t>Ouvidoria-Geral</w:t>
      </w:r>
      <w:proofErr w:type="spellEnd"/>
      <w:r w:rsidRPr="00A93148">
        <w:rPr>
          <w:rFonts w:asciiTheme="minorHAnsi" w:hAnsiTheme="minorHAnsi" w:cstheme="minorHAnsi"/>
          <w:sz w:val="28"/>
        </w:rPr>
        <w:t xml:space="preserve"> para o </w:t>
      </w:r>
      <w:r w:rsidRPr="00A93148">
        <w:rPr>
          <w:rStyle w:val="Forte"/>
          <w:rFonts w:asciiTheme="minorHAnsi" w:hAnsiTheme="minorHAnsi" w:cstheme="minorHAnsi"/>
          <w:sz w:val="28"/>
        </w:rPr>
        <w:t>Prêmio CNJ de Qualidade</w:t>
      </w:r>
      <w:r w:rsidRPr="00A93148">
        <w:rPr>
          <w:rFonts w:asciiTheme="minorHAnsi" w:hAnsiTheme="minorHAnsi" w:cstheme="minorHAnsi"/>
          <w:sz w:val="28"/>
        </w:rPr>
        <w:t xml:space="preserve">, concedido anualmente durante o Encontro Nacional do Poder Judiciário, ocasião em que são avaliados os resultados institucionais dos tribunais e definidas as Metas Nacionais para o exercício subsequente. </w:t>
      </w:r>
      <w:r w:rsidRPr="00A93148">
        <w:rPr>
          <w:rFonts w:asciiTheme="minorHAnsi" w:hAnsiTheme="minorHAnsi" w:cstheme="minorHAnsi"/>
          <w:b/>
          <w:sz w:val="28"/>
        </w:rPr>
        <w:t>A participação ativa da Ouvidoria no encaminhamento de respostas conclusivas, em até 30 dias, com o percentual acima de 95%,</w:t>
      </w:r>
      <w:r w:rsidRPr="00A93148">
        <w:rPr>
          <w:rFonts w:asciiTheme="minorHAnsi" w:hAnsiTheme="minorHAnsi" w:cstheme="minorHAnsi"/>
          <w:sz w:val="28"/>
        </w:rPr>
        <w:t xml:space="preserve"> refletiu </w:t>
      </w:r>
      <w:r w:rsidRPr="00A93148">
        <w:rPr>
          <w:rFonts w:asciiTheme="minorHAnsi" w:hAnsiTheme="minorHAnsi" w:cstheme="minorHAnsi"/>
          <w:sz w:val="28"/>
        </w:rPr>
        <w:t>positivamente na pontuação global obtida pelo TJPE no referido certame.</w:t>
      </w:r>
    </w:p>
    <w:p w:rsidR="00A93148" w:rsidRPr="00A93148" w:rsidRDefault="00A93148" w:rsidP="00A93148">
      <w:pPr>
        <w:pStyle w:val="NormalWeb"/>
        <w:jc w:val="both"/>
        <w:rPr>
          <w:rFonts w:asciiTheme="minorHAnsi" w:hAnsiTheme="minorHAnsi" w:cstheme="minorHAnsi"/>
          <w:sz w:val="28"/>
        </w:rPr>
      </w:pPr>
      <w:r w:rsidRPr="00A93148">
        <w:rPr>
          <w:rFonts w:asciiTheme="minorHAnsi" w:hAnsiTheme="minorHAnsi" w:cstheme="minorHAnsi"/>
          <w:sz w:val="28"/>
        </w:rPr>
        <w:t xml:space="preserve">Ressalta-se, ainda, o </w:t>
      </w:r>
      <w:r w:rsidRPr="00A93148">
        <w:rPr>
          <w:rStyle w:val="Forte"/>
          <w:rFonts w:asciiTheme="minorHAnsi" w:hAnsiTheme="minorHAnsi" w:cstheme="minorHAnsi"/>
          <w:sz w:val="28"/>
        </w:rPr>
        <w:t>Levantamento Nacional da Transparência Pública</w:t>
      </w:r>
      <w:r w:rsidRPr="00A93148">
        <w:rPr>
          <w:rFonts w:asciiTheme="minorHAnsi" w:hAnsiTheme="minorHAnsi" w:cstheme="minorHAnsi"/>
          <w:sz w:val="28"/>
        </w:rPr>
        <w:t>, realizado no âmbito do Programa Nacional de Transparência Pública (PNTP), projeto coordenado pela Associação dos Membros dos Tribunais de Contas do Brasil (</w:t>
      </w:r>
      <w:proofErr w:type="spellStart"/>
      <w:r w:rsidRPr="00A93148">
        <w:rPr>
          <w:rFonts w:asciiTheme="minorHAnsi" w:hAnsiTheme="minorHAnsi" w:cstheme="minorHAnsi"/>
          <w:sz w:val="28"/>
        </w:rPr>
        <w:t>Atricon</w:t>
      </w:r>
      <w:proofErr w:type="spellEnd"/>
      <w:r w:rsidRPr="00A93148">
        <w:rPr>
          <w:rFonts w:asciiTheme="minorHAnsi" w:hAnsiTheme="minorHAnsi" w:cstheme="minorHAnsi"/>
          <w:sz w:val="28"/>
        </w:rPr>
        <w:t xml:space="preserve">), que avalia o grau de transparência dos órgãos públicos brasileiros a partir de metodologia nacionalmente padronizada. Nesse contexto, a </w:t>
      </w:r>
      <w:proofErr w:type="spellStart"/>
      <w:r w:rsidRPr="00A93148">
        <w:rPr>
          <w:rFonts w:asciiTheme="minorHAnsi" w:hAnsiTheme="minorHAnsi" w:cstheme="minorHAnsi"/>
          <w:sz w:val="28"/>
        </w:rPr>
        <w:t>Ouvidoria-Geral</w:t>
      </w:r>
      <w:proofErr w:type="spellEnd"/>
      <w:r w:rsidRPr="00A93148">
        <w:rPr>
          <w:rFonts w:asciiTheme="minorHAnsi" w:hAnsiTheme="minorHAnsi" w:cstheme="minorHAnsi"/>
          <w:sz w:val="28"/>
        </w:rPr>
        <w:t xml:space="preserve"> contribuiu para que o Tribunal alcançasse </w:t>
      </w:r>
      <w:r w:rsidRPr="00A93148">
        <w:rPr>
          <w:rStyle w:val="Forte"/>
          <w:rFonts w:asciiTheme="minorHAnsi" w:hAnsiTheme="minorHAnsi" w:cstheme="minorHAnsi"/>
          <w:sz w:val="28"/>
        </w:rPr>
        <w:t>pontuação máxima nos critérios referentes à efetividade dos canais de comunicação institucional, resposta às manifestações do cidadão e disponibilidade de informações públicas</w:t>
      </w:r>
      <w:r w:rsidRPr="00A93148">
        <w:rPr>
          <w:rFonts w:asciiTheme="minorHAnsi" w:hAnsiTheme="minorHAnsi" w:cstheme="minorHAnsi"/>
          <w:sz w:val="28"/>
        </w:rPr>
        <w:t>, repercutindo diretamente na nota final do TJPE.</w:t>
      </w:r>
    </w:p>
    <w:p w:rsidR="00A93148" w:rsidRPr="00A93148" w:rsidRDefault="00A93148" w:rsidP="00A93148">
      <w:pPr>
        <w:pStyle w:val="NormalWeb"/>
        <w:jc w:val="both"/>
        <w:rPr>
          <w:rFonts w:asciiTheme="minorHAnsi" w:hAnsiTheme="minorHAnsi" w:cstheme="minorHAnsi"/>
          <w:sz w:val="28"/>
        </w:rPr>
      </w:pPr>
      <w:r w:rsidRPr="00A93148">
        <w:rPr>
          <w:rFonts w:asciiTheme="minorHAnsi" w:hAnsiTheme="minorHAnsi" w:cstheme="minorHAnsi"/>
          <w:sz w:val="28"/>
        </w:rPr>
        <w:t xml:space="preserve">A atuação da </w:t>
      </w:r>
      <w:proofErr w:type="spellStart"/>
      <w:r w:rsidRPr="00A93148">
        <w:rPr>
          <w:rFonts w:asciiTheme="minorHAnsi" w:hAnsiTheme="minorHAnsi" w:cstheme="minorHAnsi"/>
          <w:sz w:val="28"/>
        </w:rPr>
        <w:t>Ouvidoria-Geral</w:t>
      </w:r>
      <w:proofErr w:type="spellEnd"/>
      <w:r w:rsidRPr="00A93148">
        <w:rPr>
          <w:rFonts w:asciiTheme="minorHAnsi" w:hAnsiTheme="minorHAnsi" w:cstheme="minorHAnsi"/>
          <w:sz w:val="28"/>
        </w:rPr>
        <w:t>, pautada pela eficiência, transparência e compromisso com o cidadão, revelou-se, assim, fator determinante para o reconhecimento institucional do Tribunal em âmbito nacional, reafirmando seu papel como instrumento essencial de governança, controle social e aprimoramento contínuo dos serviços judiciários.</w:t>
      </w:r>
    </w:p>
    <w:p w:rsidR="008B5935" w:rsidRPr="0029026B" w:rsidRDefault="0029026B" w:rsidP="0029026B">
      <w:pPr>
        <w:pStyle w:val="Ttulo3"/>
        <w:jc w:val="both"/>
        <w:rPr>
          <w:rFonts w:ascii="Times New Roman" w:eastAsia="Times New Roman" w:hAnsi="Times New Roman" w:cs="Times New Roman"/>
          <w:color w:val="2E74B5" w:themeColor="accent1" w:themeShade="BF"/>
          <w:sz w:val="36"/>
          <w:lang w:val="pt-BR"/>
        </w:rPr>
      </w:pPr>
      <w:bookmarkStart w:id="16" w:name="_Toc220588607"/>
      <w:r w:rsidRPr="0029026B">
        <w:rPr>
          <w:rStyle w:val="Forte"/>
          <w:bCs w:val="0"/>
          <w:color w:val="2E74B5" w:themeColor="accent1" w:themeShade="BF"/>
          <w:sz w:val="36"/>
        </w:rPr>
        <w:t>2.11</w:t>
      </w:r>
      <w:r w:rsidR="008B5935" w:rsidRPr="0029026B">
        <w:rPr>
          <w:rStyle w:val="Forte"/>
          <w:bCs w:val="0"/>
          <w:color w:val="2E74B5" w:themeColor="accent1" w:themeShade="BF"/>
          <w:sz w:val="36"/>
        </w:rPr>
        <w:t>. Ampliação da divulgação institucional da Ouvidoria-Geral do TJPE</w:t>
      </w:r>
      <w:bookmarkEnd w:id="16"/>
    </w:p>
    <w:p w:rsidR="008B5935" w:rsidRPr="004C477C" w:rsidRDefault="008B5935" w:rsidP="0029026B">
      <w:pPr>
        <w:pStyle w:val="NormalWeb"/>
        <w:jc w:val="both"/>
        <w:rPr>
          <w:rFonts w:asciiTheme="minorHAnsi" w:hAnsiTheme="minorHAnsi" w:cstheme="minorHAnsi"/>
          <w:b/>
          <w:sz w:val="28"/>
        </w:rPr>
      </w:pPr>
      <w:r w:rsidRPr="0029026B">
        <w:rPr>
          <w:rFonts w:asciiTheme="minorHAnsi" w:hAnsiTheme="minorHAnsi" w:cstheme="minorHAnsi"/>
          <w:sz w:val="28"/>
        </w:rPr>
        <w:t xml:space="preserve">Com o propósito de fortalecer a aproximação entre o Poder Judiciário e a sociedade pernambucana, a </w:t>
      </w:r>
      <w:proofErr w:type="spellStart"/>
      <w:r w:rsidRPr="0029026B">
        <w:rPr>
          <w:rFonts w:asciiTheme="minorHAnsi" w:hAnsiTheme="minorHAnsi" w:cstheme="minorHAnsi"/>
          <w:sz w:val="28"/>
        </w:rPr>
        <w:t>Ouvidoria-Geral</w:t>
      </w:r>
      <w:proofErr w:type="spellEnd"/>
      <w:r w:rsidRPr="0029026B">
        <w:rPr>
          <w:rFonts w:asciiTheme="minorHAnsi" w:hAnsiTheme="minorHAnsi" w:cstheme="minorHAnsi"/>
          <w:sz w:val="28"/>
        </w:rPr>
        <w:t xml:space="preserve"> do Tribunal de Justiça de Pernambuco, na gestão 2024–2026, implementou, em setembro de 2025, ação estratégica de ampliação da divulgação de seus canais de atendimento. </w:t>
      </w:r>
      <w:r w:rsidRPr="004C477C">
        <w:rPr>
          <w:rFonts w:asciiTheme="minorHAnsi" w:hAnsiTheme="minorHAnsi" w:cstheme="minorHAnsi"/>
          <w:b/>
          <w:sz w:val="28"/>
        </w:rPr>
        <w:t xml:space="preserve">A iniciativa consistiu na distribuição de cartazes institucionais contendo informações atualizadas de contato da </w:t>
      </w:r>
      <w:proofErr w:type="spellStart"/>
      <w:r w:rsidRPr="004C477C">
        <w:rPr>
          <w:rFonts w:asciiTheme="minorHAnsi" w:hAnsiTheme="minorHAnsi" w:cstheme="minorHAnsi"/>
          <w:b/>
          <w:sz w:val="28"/>
        </w:rPr>
        <w:lastRenderedPageBreak/>
        <w:t>Ouvidoria-Geral</w:t>
      </w:r>
      <w:proofErr w:type="spellEnd"/>
      <w:r w:rsidRPr="004C477C">
        <w:rPr>
          <w:rFonts w:asciiTheme="minorHAnsi" w:hAnsiTheme="minorHAnsi" w:cstheme="minorHAnsi"/>
          <w:b/>
          <w:sz w:val="28"/>
        </w:rPr>
        <w:t>, incluindo telefone, WhatsApp, sistema eletrônico, balcão virtual e endereço físico</w:t>
      </w:r>
      <w:r w:rsidR="0029026B" w:rsidRPr="004C477C">
        <w:rPr>
          <w:rFonts w:asciiTheme="minorHAnsi" w:hAnsiTheme="minorHAnsi" w:cstheme="minorHAnsi"/>
          <w:b/>
          <w:sz w:val="28"/>
        </w:rPr>
        <w:t>, nos Fóruns de todas as comarcas do Estado de Pernambuco</w:t>
      </w:r>
      <w:r w:rsidRPr="004C477C">
        <w:rPr>
          <w:rFonts w:asciiTheme="minorHAnsi" w:hAnsiTheme="minorHAnsi" w:cstheme="minorHAnsi"/>
          <w:b/>
          <w:sz w:val="28"/>
        </w:rPr>
        <w:t>.</w:t>
      </w:r>
    </w:p>
    <w:p w:rsidR="008B5935" w:rsidRPr="0029026B" w:rsidRDefault="008B5935" w:rsidP="0029026B">
      <w:pPr>
        <w:pStyle w:val="NormalWeb"/>
        <w:jc w:val="both"/>
        <w:rPr>
          <w:rFonts w:asciiTheme="minorHAnsi" w:hAnsiTheme="minorHAnsi" w:cstheme="minorHAnsi"/>
          <w:sz w:val="28"/>
        </w:rPr>
      </w:pPr>
      <w:r w:rsidRPr="0029026B">
        <w:rPr>
          <w:rFonts w:asciiTheme="minorHAnsi" w:hAnsiTheme="minorHAnsi" w:cstheme="minorHAnsi"/>
          <w:sz w:val="28"/>
        </w:rPr>
        <w:t>Os materiais foram encaminhados às unidades judiciárias da capital e, especialmente, do interior do Estado, com o objetivo de ampliar o alcance das informações junto à população, facilitar o acesso aos serviços da Ouvidoria e incentivar o exercício da cidadania por meio da participação ativa dos jurisdicionados.</w:t>
      </w:r>
    </w:p>
    <w:p w:rsidR="00A93148" w:rsidRPr="0029026B" w:rsidRDefault="008B5935" w:rsidP="00BF0A3E">
      <w:pPr>
        <w:pStyle w:val="NormalWeb"/>
        <w:jc w:val="both"/>
        <w:rPr>
          <w:rFonts w:asciiTheme="minorHAnsi" w:hAnsiTheme="minorHAnsi" w:cstheme="minorHAnsi"/>
          <w:sz w:val="28"/>
        </w:rPr>
      </w:pPr>
      <w:r w:rsidRPr="0029026B">
        <w:rPr>
          <w:rFonts w:asciiTheme="minorHAnsi" w:hAnsiTheme="minorHAnsi" w:cstheme="minorHAnsi"/>
          <w:sz w:val="28"/>
        </w:rPr>
        <w:t xml:space="preserve">A ação reforça o compromisso da </w:t>
      </w:r>
      <w:proofErr w:type="spellStart"/>
      <w:r w:rsidRPr="0029026B">
        <w:rPr>
          <w:rFonts w:asciiTheme="minorHAnsi" w:hAnsiTheme="minorHAnsi" w:cstheme="minorHAnsi"/>
          <w:sz w:val="28"/>
        </w:rPr>
        <w:t>Ouvidoria-Geral</w:t>
      </w:r>
      <w:proofErr w:type="spellEnd"/>
      <w:r w:rsidRPr="0029026B">
        <w:rPr>
          <w:rFonts w:asciiTheme="minorHAnsi" w:hAnsiTheme="minorHAnsi" w:cstheme="minorHAnsi"/>
          <w:sz w:val="28"/>
        </w:rPr>
        <w:t xml:space="preserve"> com a transparência, a acessibilidade e a democratização da comunicação institucional, contribuindo para a aproximação do Tribunal de Justiça de Pernambuco com a sociedade e para o fortalecimento dos mecanismos de escuta qualificada das demandas do público interno e externo.</w:t>
      </w:r>
    </w:p>
    <w:p w:rsidR="00BF0A3E" w:rsidRPr="00BF0A3E" w:rsidRDefault="00D90A8A" w:rsidP="00BF0A3E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pict>
          <v:rect id="_x0000_i1035" style="width:0;height:1.5pt" o:hralign="center" o:hrstd="t" o:hr="t" fillcolor="#a0a0a0" stroked="f"/>
        </w:pict>
      </w:r>
    </w:p>
    <w:p w:rsidR="00753678" w:rsidRDefault="0029026B" w:rsidP="00753678">
      <w:pPr>
        <w:pStyle w:val="Ttulo2"/>
        <w:jc w:val="both"/>
        <w:rPr>
          <w:rStyle w:val="Forte"/>
          <w:rFonts w:asciiTheme="minorHAnsi" w:hAnsiTheme="minorHAnsi" w:cstheme="minorHAnsi"/>
          <w:bCs w:val="0"/>
          <w:sz w:val="32"/>
          <w:szCs w:val="28"/>
        </w:rPr>
      </w:pPr>
      <w:bookmarkStart w:id="17" w:name="_Toc220588608"/>
      <w:r>
        <w:rPr>
          <w:rStyle w:val="Forte"/>
          <w:rFonts w:asciiTheme="minorHAnsi" w:hAnsiTheme="minorHAnsi" w:cstheme="minorHAnsi"/>
          <w:b w:val="0"/>
          <w:bCs w:val="0"/>
          <w:sz w:val="32"/>
          <w:szCs w:val="28"/>
        </w:rPr>
        <w:t>2.12.</w:t>
      </w:r>
      <w:r w:rsidR="00753678" w:rsidRPr="00B857B6">
        <w:rPr>
          <w:rStyle w:val="Forte"/>
          <w:rFonts w:asciiTheme="minorHAnsi" w:hAnsiTheme="minorHAnsi" w:cstheme="minorHAnsi"/>
          <w:b w:val="0"/>
          <w:bCs w:val="0"/>
          <w:sz w:val="32"/>
          <w:szCs w:val="28"/>
        </w:rPr>
        <w:t xml:space="preserve"> </w:t>
      </w:r>
      <w:r w:rsidR="00753678">
        <w:rPr>
          <w:rStyle w:val="Forte"/>
          <w:rFonts w:asciiTheme="minorHAnsi" w:hAnsiTheme="minorHAnsi" w:cstheme="minorHAnsi"/>
          <w:bCs w:val="0"/>
          <w:sz w:val="32"/>
          <w:szCs w:val="28"/>
        </w:rPr>
        <w:t>Articulação institucional com o Grupo de Monitoramento e Fiscalização do Sistema Carcerário e de Execução de Medidas Socioeducativas (GMF)</w:t>
      </w:r>
      <w:bookmarkEnd w:id="17"/>
    </w:p>
    <w:p w:rsidR="00753678" w:rsidRDefault="00753678" w:rsidP="00753678"/>
    <w:p w:rsidR="00753678" w:rsidRPr="00753678" w:rsidRDefault="00753678" w:rsidP="00753678">
      <w:pPr>
        <w:pStyle w:val="NormalWeb"/>
        <w:jc w:val="both"/>
        <w:rPr>
          <w:rFonts w:asciiTheme="minorHAnsi" w:hAnsiTheme="minorHAnsi" w:cstheme="minorHAnsi"/>
          <w:sz w:val="28"/>
        </w:rPr>
      </w:pPr>
      <w:r w:rsidRPr="00753678">
        <w:rPr>
          <w:rFonts w:asciiTheme="minorHAnsi" w:hAnsiTheme="minorHAnsi" w:cstheme="minorHAnsi"/>
          <w:sz w:val="28"/>
        </w:rPr>
        <w:t xml:space="preserve">No contexto das ações institucionais desenvolvidas ao longo do biênio, destaca-se a articulação permanente entre a </w:t>
      </w:r>
      <w:proofErr w:type="spellStart"/>
      <w:r w:rsidRPr="00753678">
        <w:rPr>
          <w:rFonts w:asciiTheme="minorHAnsi" w:hAnsiTheme="minorHAnsi" w:cstheme="minorHAnsi"/>
          <w:sz w:val="28"/>
        </w:rPr>
        <w:t>Ouvidoria-Geral</w:t>
      </w:r>
      <w:proofErr w:type="spellEnd"/>
      <w:r w:rsidRPr="00753678">
        <w:rPr>
          <w:rFonts w:asciiTheme="minorHAnsi" w:hAnsiTheme="minorHAnsi" w:cstheme="minorHAnsi"/>
          <w:sz w:val="28"/>
        </w:rPr>
        <w:t xml:space="preserve"> do Tribunal de Justiça de Pernambuco e o Grupo de Monitoramento e Fiscalização do Sistema Carcerário e de Execução de Medidas Socioeducativas (GMF), unidade estratégica responsável pelo acompanhamento das políticas judiciárias voltadas ao sistema prisional e socioeducativo. Essa integração reafirma o compromisso do TJPE com a proteção dos direitos fundamentais, a transparência institucional e o fortalecimento dos mecanismos de controle e prevenção de irregularidades no âmbito da execução penal e das medidas socioeducativas.</w:t>
      </w:r>
    </w:p>
    <w:p w:rsidR="00753678" w:rsidRPr="00753678" w:rsidRDefault="00753678" w:rsidP="00753678">
      <w:pPr>
        <w:pStyle w:val="NormalWeb"/>
        <w:jc w:val="both"/>
        <w:rPr>
          <w:rFonts w:asciiTheme="minorHAnsi" w:hAnsiTheme="minorHAnsi" w:cstheme="minorHAnsi"/>
          <w:sz w:val="28"/>
        </w:rPr>
      </w:pPr>
      <w:r w:rsidRPr="00753678">
        <w:rPr>
          <w:rFonts w:asciiTheme="minorHAnsi" w:hAnsiTheme="minorHAnsi" w:cstheme="minorHAnsi"/>
          <w:sz w:val="28"/>
        </w:rPr>
        <w:t xml:space="preserve">A interação entre a </w:t>
      </w:r>
      <w:proofErr w:type="spellStart"/>
      <w:r w:rsidRPr="00753678">
        <w:rPr>
          <w:rFonts w:asciiTheme="minorHAnsi" w:hAnsiTheme="minorHAnsi" w:cstheme="minorHAnsi"/>
          <w:sz w:val="28"/>
        </w:rPr>
        <w:t>Ouvidoria-Geral</w:t>
      </w:r>
      <w:proofErr w:type="spellEnd"/>
      <w:r w:rsidRPr="00753678">
        <w:rPr>
          <w:rFonts w:asciiTheme="minorHAnsi" w:hAnsiTheme="minorHAnsi" w:cstheme="minorHAnsi"/>
          <w:sz w:val="28"/>
        </w:rPr>
        <w:t xml:space="preserve"> e o GMF foi significativamente fortalecida no período, especialmente em razão da atuação institucional da Exma. Dra. </w:t>
      </w:r>
      <w:r w:rsidRPr="00753678">
        <w:rPr>
          <w:rStyle w:val="Forte"/>
          <w:rFonts w:asciiTheme="minorHAnsi" w:eastAsia="Calibri" w:hAnsiTheme="minorHAnsi" w:cstheme="minorHAnsi"/>
          <w:sz w:val="28"/>
        </w:rPr>
        <w:t>Laura Amélia Moreira Brennand Simões</w:t>
      </w:r>
      <w:r w:rsidRPr="00753678">
        <w:rPr>
          <w:rFonts w:asciiTheme="minorHAnsi" w:hAnsiTheme="minorHAnsi" w:cstheme="minorHAnsi"/>
          <w:sz w:val="28"/>
        </w:rPr>
        <w:t xml:space="preserve">, que, até dezembro de 2025, exerceu a função de </w:t>
      </w:r>
      <w:r w:rsidRPr="00753678">
        <w:rPr>
          <w:rStyle w:val="Forte"/>
          <w:rFonts w:asciiTheme="minorHAnsi" w:eastAsia="Calibri" w:hAnsiTheme="minorHAnsi" w:cstheme="minorHAnsi"/>
          <w:sz w:val="28"/>
        </w:rPr>
        <w:t>Coordenadora de Direitos Humanos da Ouvidoria do TJPE</w:t>
      </w:r>
      <w:r w:rsidRPr="00753678">
        <w:rPr>
          <w:rFonts w:asciiTheme="minorHAnsi" w:hAnsiTheme="minorHAnsi" w:cstheme="minorHAnsi"/>
          <w:sz w:val="28"/>
        </w:rPr>
        <w:t xml:space="preserve"> e, simultaneamente, ocupou a posição de </w:t>
      </w:r>
      <w:r w:rsidRPr="00753678">
        <w:rPr>
          <w:rStyle w:val="Forte"/>
          <w:rFonts w:asciiTheme="minorHAnsi" w:eastAsia="Calibri" w:hAnsiTheme="minorHAnsi" w:cstheme="minorHAnsi"/>
          <w:sz w:val="28"/>
        </w:rPr>
        <w:t>Coordenadora Adjunta de Políticas Socioeducativas do GMF/TJPE</w:t>
      </w:r>
      <w:r w:rsidRPr="00753678">
        <w:rPr>
          <w:rFonts w:asciiTheme="minorHAnsi" w:hAnsiTheme="minorHAnsi" w:cstheme="minorHAnsi"/>
          <w:sz w:val="28"/>
        </w:rPr>
        <w:t>, representando a Ouvidoria naquele Grupo. Essa dupla vinculação funcional possibilitou maior fluidez no intercâmbio de informações, alinhamento de estratégias e encaminhamento célere das demandas relacionadas à proteção de direitos no sistema socioeducativo e prisional.</w:t>
      </w:r>
    </w:p>
    <w:p w:rsidR="00753678" w:rsidRPr="00753678" w:rsidRDefault="00753678" w:rsidP="00753678">
      <w:pPr>
        <w:pStyle w:val="NormalWeb"/>
        <w:jc w:val="both"/>
        <w:rPr>
          <w:rFonts w:asciiTheme="minorHAnsi" w:hAnsiTheme="minorHAnsi" w:cstheme="minorHAnsi"/>
          <w:sz w:val="28"/>
        </w:rPr>
      </w:pPr>
      <w:r w:rsidRPr="00753678">
        <w:rPr>
          <w:rFonts w:asciiTheme="minorHAnsi" w:hAnsiTheme="minorHAnsi" w:cstheme="minorHAnsi"/>
          <w:sz w:val="28"/>
        </w:rPr>
        <w:t xml:space="preserve">O GMF atua em conformidade com a Resolução CNJ nº 215/2015, sendo composto por </w:t>
      </w:r>
      <w:proofErr w:type="gramStart"/>
      <w:r w:rsidRPr="00753678">
        <w:rPr>
          <w:rFonts w:asciiTheme="minorHAnsi" w:hAnsiTheme="minorHAnsi" w:cstheme="minorHAnsi"/>
          <w:sz w:val="28"/>
        </w:rPr>
        <w:t>magistrados(</w:t>
      </w:r>
      <w:proofErr w:type="gramEnd"/>
      <w:r w:rsidRPr="00753678">
        <w:rPr>
          <w:rFonts w:asciiTheme="minorHAnsi" w:hAnsiTheme="minorHAnsi" w:cstheme="minorHAnsi"/>
          <w:sz w:val="28"/>
        </w:rPr>
        <w:t>as) designados(as) pela Presidência do Tribunal, equipe técnica multidisciplinar e servidores(as) especializados(as), responsáveis pelo monitoramento contínuo das unidades prisionais e socioeducativas, bem como pela apuração de demandas relacionadas a possíveis violações de direitos, condições de custódia e cumprimento das normativas legais aplicáveis.</w:t>
      </w:r>
    </w:p>
    <w:p w:rsidR="00753678" w:rsidRPr="00753678" w:rsidRDefault="00753678" w:rsidP="00753678">
      <w:pPr>
        <w:pStyle w:val="NormalWeb"/>
        <w:jc w:val="both"/>
        <w:rPr>
          <w:rFonts w:asciiTheme="minorHAnsi" w:hAnsiTheme="minorHAnsi" w:cstheme="minorHAnsi"/>
          <w:sz w:val="28"/>
        </w:rPr>
      </w:pPr>
      <w:r w:rsidRPr="00753678">
        <w:rPr>
          <w:rFonts w:asciiTheme="minorHAnsi" w:hAnsiTheme="minorHAnsi" w:cstheme="minorHAnsi"/>
          <w:sz w:val="28"/>
        </w:rPr>
        <w:lastRenderedPageBreak/>
        <w:t xml:space="preserve">No ano de 2025, o GMF encaminhou à </w:t>
      </w:r>
      <w:proofErr w:type="spellStart"/>
      <w:r w:rsidRPr="00753678">
        <w:rPr>
          <w:rFonts w:asciiTheme="minorHAnsi" w:hAnsiTheme="minorHAnsi" w:cstheme="minorHAnsi"/>
          <w:sz w:val="28"/>
        </w:rPr>
        <w:t>Ouvidoria-Geral</w:t>
      </w:r>
      <w:proofErr w:type="spellEnd"/>
      <w:r w:rsidRPr="00753678">
        <w:rPr>
          <w:rFonts w:asciiTheme="minorHAnsi" w:hAnsiTheme="minorHAnsi" w:cstheme="minorHAnsi"/>
          <w:sz w:val="28"/>
        </w:rPr>
        <w:t xml:space="preserve"> relatório sistematizado contendo o fluxo de apuração das demandas recebidas, a descrição das ocorrências acompanhadas, os casos analisados e as providências adotadas, incluindo inspeções institucionais, recomendações administrativas, articulação com órgãos parceiros e acompanhamento das respostas às situações identificadas. A atuação conjunta possibilitou o fortalecimento dos canais de escuta, a qualificação das respostas institucionais e a ampliação da transparência na gestão das informações sensíveis relacionadas ao sistema carcerário e socioeducativo.</w:t>
      </w:r>
    </w:p>
    <w:p w:rsidR="00753678" w:rsidRDefault="00753678" w:rsidP="00753678">
      <w:pPr>
        <w:pStyle w:val="NormalWeb"/>
        <w:jc w:val="both"/>
        <w:rPr>
          <w:rFonts w:asciiTheme="minorHAnsi" w:hAnsiTheme="minorHAnsi" w:cstheme="minorHAnsi"/>
          <w:sz w:val="28"/>
        </w:rPr>
      </w:pPr>
      <w:r w:rsidRPr="00753678">
        <w:rPr>
          <w:rFonts w:asciiTheme="minorHAnsi" w:hAnsiTheme="minorHAnsi" w:cstheme="minorHAnsi"/>
          <w:sz w:val="28"/>
        </w:rPr>
        <w:t xml:space="preserve">A integração entre o GMF e a </w:t>
      </w:r>
      <w:proofErr w:type="spellStart"/>
      <w:r w:rsidRPr="00753678">
        <w:rPr>
          <w:rFonts w:asciiTheme="minorHAnsi" w:hAnsiTheme="minorHAnsi" w:cstheme="minorHAnsi"/>
          <w:sz w:val="28"/>
        </w:rPr>
        <w:t>Ouvidoria-Geral</w:t>
      </w:r>
      <w:proofErr w:type="spellEnd"/>
      <w:r w:rsidRPr="00753678">
        <w:rPr>
          <w:rFonts w:asciiTheme="minorHAnsi" w:hAnsiTheme="minorHAnsi" w:cstheme="minorHAnsi"/>
          <w:sz w:val="28"/>
        </w:rPr>
        <w:t xml:space="preserve"> consolidou-se, ao longo do biênio, como instrumento relevante de prestação de contas, publicidade das ações desenvolvidas e aprimoramento contínuo da atuação do Tribunal no campo da execução penal e das medidas socioeducativas. A iniciativa reforça o compromisso institucional com a dignidade da pessoa humana, a prevenção de violações de direitos e o fortalecimento da confiança da sociedade no Poder Judiciário. Registra-se, ainda, que dados mais detalhados sobre os casos apurados e as providências adotadas encontram-se disponíveis nos relatórios específicos do GMF, assegurando transparência e acesso à informação.</w:t>
      </w:r>
    </w:p>
    <w:p w:rsidR="00CC5C16" w:rsidRPr="00753678" w:rsidRDefault="00CC5C16" w:rsidP="00753678">
      <w:pPr>
        <w:pStyle w:val="NormalWeb"/>
        <w:jc w:val="both"/>
        <w:rPr>
          <w:rStyle w:val="Forte"/>
          <w:rFonts w:asciiTheme="minorHAnsi" w:hAnsiTheme="minorHAnsi" w:cstheme="minorHAnsi"/>
          <w:b w:val="0"/>
          <w:bCs w:val="0"/>
          <w:sz w:val="28"/>
        </w:rPr>
      </w:pPr>
    </w:p>
    <w:p w:rsidR="00BF0A3E" w:rsidRPr="00B857B6" w:rsidRDefault="007F24F6" w:rsidP="00BF0A3E">
      <w:pPr>
        <w:pStyle w:val="Ttulo1"/>
        <w:ind w:left="0" w:firstLine="0"/>
        <w:jc w:val="both"/>
        <w:rPr>
          <w:rFonts w:asciiTheme="minorHAnsi" w:hAnsiTheme="minorHAnsi" w:cstheme="minorHAnsi"/>
          <w:szCs w:val="28"/>
        </w:rPr>
      </w:pPr>
      <w:bookmarkStart w:id="18" w:name="_Toc220588609"/>
      <w:r>
        <w:rPr>
          <w:rStyle w:val="Forte"/>
          <w:rFonts w:asciiTheme="minorHAnsi" w:hAnsiTheme="minorHAnsi" w:cstheme="minorHAnsi"/>
          <w:b/>
          <w:bCs/>
          <w:szCs w:val="28"/>
        </w:rPr>
        <w:t>Em síntese</w:t>
      </w:r>
      <w:bookmarkEnd w:id="18"/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 xml:space="preserve">Os fatos apresentados demonstram que, ao longo dos quatro semestres que compõem o presente relatório, a </w:t>
      </w:r>
      <w:proofErr w:type="spellStart"/>
      <w:r w:rsidRPr="00BF0A3E">
        <w:rPr>
          <w:rFonts w:asciiTheme="minorHAnsi" w:hAnsiTheme="minorHAnsi" w:cstheme="minorHAnsi"/>
          <w:sz w:val="28"/>
          <w:szCs w:val="28"/>
        </w:rPr>
        <w:t>Ouvidoria-Geral</w:t>
      </w:r>
      <w:proofErr w:type="spellEnd"/>
      <w:r w:rsidRPr="00BF0A3E">
        <w:rPr>
          <w:rFonts w:asciiTheme="minorHAnsi" w:hAnsiTheme="minorHAnsi" w:cstheme="minorHAnsi"/>
          <w:sz w:val="28"/>
          <w:szCs w:val="28"/>
        </w:rPr>
        <w:t xml:space="preserve"> do Tribunal de Justiça de Pernambuco consolidou-se como instrumento estratégico de transparência, cidadania e participação social.</w:t>
      </w:r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>A gestão do Desembargador Waldemir Tavares de Albuquerque Filho foi marcada pelo fortalecimento institucional, pela inovação tecnológica, pela expansão territorial da escuta cidadã e pelo protagonismo nacional da Ouvidoria do TJPE.</w:t>
      </w:r>
    </w:p>
    <w:p w:rsidR="00BF0A3E" w:rsidRPr="00BF0A3E" w:rsidRDefault="00BF0A3E" w:rsidP="00BF0A3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BF0A3E">
        <w:rPr>
          <w:rFonts w:asciiTheme="minorHAnsi" w:hAnsiTheme="minorHAnsi" w:cstheme="minorHAnsi"/>
          <w:sz w:val="28"/>
          <w:szCs w:val="28"/>
        </w:rPr>
        <w:t>O conjunto das iniciativas desenvolvidas reafirma o compromisso permanente do Tribunal de Justiça de Pernambuco com uma Justiça mais acessível, humanizada, responsiva e próxima da sociedade.</w:t>
      </w:r>
    </w:p>
    <w:p w:rsidR="002549B6" w:rsidRPr="00BF0A3E" w:rsidRDefault="002549B6" w:rsidP="00BF0A3E">
      <w:pPr>
        <w:jc w:val="both"/>
        <w:rPr>
          <w:rFonts w:asciiTheme="minorHAnsi" w:hAnsiTheme="minorHAnsi" w:cstheme="minorHAnsi"/>
          <w:sz w:val="28"/>
          <w:szCs w:val="28"/>
        </w:rPr>
        <w:sectPr w:rsidR="002549B6" w:rsidRPr="00BF0A3E">
          <w:headerReference w:type="default" r:id="rId31"/>
          <w:type w:val="continuous"/>
          <w:pgSz w:w="16840" w:h="11910" w:orient="landscape"/>
          <w:pgMar w:top="1120" w:right="1260" w:bottom="280" w:left="940" w:header="778" w:footer="0" w:gutter="0"/>
          <w:cols w:num="2" w:space="720" w:equalWidth="0">
            <w:col w:w="5882" w:space="783"/>
            <w:col w:w="7975"/>
          </w:cols>
        </w:sectPr>
      </w:pPr>
    </w:p>
    <w:p w:rsidR="002549B6" w:rsidRPr="00B857B6" w:rsidRDefault="002549B6" w:rsidP="00B857B6">
      <w:pPr>
        <w:pStyle w:val="Ttulo1"/>
        <w:spacing w:before="357"/>
        <w:ind w:left="650" w:firstLine="0"/>
        <w:jc w:val="center"/>
        <w:rPr>
          <w:rFonts w:asciiTheme="minorHAnsi" w:hAnsiTheme="minorHAnsi" w:cstheme="minorHAnsi"/>
          <w:b w:val="0"/>
        </w:rPr>
      </w:pPr>
      <w:bookmarkStart w:id="19" w:name="_Toc220588610"/>
      <w:r w:rsidRPr="00B857B6">
        <w:rPr>
          <w:rFonts w:asciiTheme="minorHAnsi" w:hAnsiTheme="minorHAnsi" w:cstheme="minorHAnsi"/>
          <w:spacing w:val="-2"/>
          <w:u w:val="single"/>
        </w:rPr>
        <w:lastRenderedPageBreak/>
        <w:t>CO</w:t>
      </w:r>
      <w:r w:rsidR="0009495A">
        <w:rPr>
          <w:rFonts w:asciiTheme="minorHAnsi" w:hAnsiTheme="minorHAnsi" w:cstheme="minorHAnsi"/>
          <w:spacing w:val="-2"/>
          <w:u w:val="single"/>
        </w:rPr>
        <w:t>NSIDERAÇÕES FINAIS</w:t>
      </w:r>
      <w:bookmarkEnd w:id="19"/>
    </w:p>
    <w:p w:rsidR="0015418E" w:rsidRPr="00CF4D1D" w:rsidRDefault="0015418E" w:rsidP="0015418E">
      <w:pPr>
        <w:pStyle w:val="NormalWeb"/>
        <w:ind w:left="567"/>
        <w:jc w:val="both"/>
        <w:rPr>
          <w:rFonts w:asciiTheme="minorHAnsi" w:hAnsiTheme="minorHAnsi" w:cstheme="minorHAnsi"/>
          <w:b/>
          <w:sz w:val="28"/>
        </w:rPr>
      </w:pPr>
      <w:r w:rsidRPr="00B857B6">
        <w:rPr>
          <w:rFonts w:asciiTheme="minorHAnsi" w:hAnsiTheme="minorHAnsi" w:cstheme="minorHAnsi"/>
          <w:sz w:val="28"/>
        </w:rPr>
        <w:t xml:space="preserve">O conjunto de ações, projetos e iniciativas apresentados neste Relatório Bienal de Gestão </w:t>
      </w:r>
      <w:r w:rsidRPr="00CF4D1D">
        <w:rPr>
          <w:rFonts w:asciiTheme="minorHAnsi" w:hAnsiTheme="minorHAnsi" w:cstheme="minorHAnsi"/>
          <w:b/>
          <w:sz w:val="28"/>
        </w:rPr>
        <w:t xml:space="preserve">evidencia o empenho permanente da </w:t>
      </w:r>
      <w:proofErr w:type="spellStart"/>
      <w:r w:rsidRPr="00CF4D1D">
        <w:rPr>
          <w:rFonts w:asciiTheme="minorHAnsi" w:hAnsiTheme="minorHAnsi" w:cstheme="minorHAnsi"/>
          <w:b/>
          <w:sz w:val="28"/>
        </w:rPr>
        <w:t>Ouvidoria-Geral</w:t>
      </w:r>
      <w:proofErr w:type="spellEnd"/>
      <w:r w:rsidRPr="00CF4D1D">
        <w:rPr>
          <w:rFonts w:asciiTheme="minorHAnsi" w:hAnsiTheme="minorHAnsi" w:cstheme="minorHAnsi"/>
          <w:b/>
          <w:sz w:val="28"/>
        </w:rPr>
        <w:t xml:space="preserve"> do Tribunal de Justiça de Pernambuco em consolidar uma política institucional de escuta qualificada, transparência e aproximação entre o Poder Judiciário e a sociedade.</w:t>
      </w:r>
      <w:r w:rsidRPr="00B857B6">
        <w:rPr>
          <w:rFonts w:asciiTheme="minorHAnsi" w:hAnsiTheme="minorHAnsi" w:cstheme="minorHAnsi"/>
          <w:sz w:val="28"/>
        </w:rPr>
        <w:t xml:space="preserve"> Ao longo do período 2024–2026</w:t>
      </w:r>
      <w:r w:rsidRPr="00CF4D1D">
        <w:rPr>
          <w:rFonts w:asciiTheme="minorHAnsi" w:hAnsiTheme="minorHAnsi" w:cstheme="minorHAnsi"/>
          <w:b/>
          <w:sz w:val="28"/>
        </w:rPr>
        <w:t>, sob a condução do Exmo. Desembargador Waldemir Tavares de Albuquerque Filho, a Ouvidoria reafirmou seu papel estratégico como canal de diálogo, participação cidadã e aprimoramento contínuo da prestação jurisdicional.</w:t>
      </w:r>
    </w:p>
    <w:p w:rsidR="0015418E" w:rsidRPr="00B857B6" w:rsidRDefault="0015418E" w:rsidP="0015418E">
      <w:pPr>
        <w:pStyle w:val="NormalWeb"/>
        <w:ind w:left="567"/>
        <w:jc w:val="both"/>
        <w:rPr>
          <w:rFonts w:asciiTheme="minorHAnsi" w:hAnsiTheme="minorHAnsi" w:cstheme="minorHAnsi"/>
          <w:sz w:val="28"/>
        </w:rPr>
      </w:pPr>
      <w:r w:rsidRPr="00B857B6">
        <w:rPr>
          <w:rFonts w:asciiTheme="minorHAnsi" w:hAnsiTheme="minorHAnsi" w:cstheme="minorHAnsi"/>
          <w:sz w:val="28"/>
        </w:rPr>
        <w:t xml:space="preserve">Os resultados aqui registrados refletem o trabalho dedicado e comprometido de </w:t>
      </w:r>
      <w:proofErr w:type="gramStart"/>
      <w:r w:rsidRPr="00B857B6">
        <w:rPr>
          <w:rFonts w:asciiTheme="minorHAnsi" w:hAnsiTheme="minorHAnsi" w:cstheme="minorHAnsi"/>
          <w:sz w:val="28"/>
        </w:rPr>
        <w:t>magistrados(</w:t>
      </w:r>
      <w:proofErr w:type="gramEnd"/>
      <w:r w:rsidRPr="00B857B6">
        <w:rPr>
          <w:rFonts w:asciiTheme="minorHAnsi" w:hAnsiTheme="minorHAnsi" w:cstheme="minorHAnsi"/>
          <w:sz w:val="28"/>
        </w:rPr>
        <w:t xml:space="preserve">as), servidores(as), assessores(as) e colaboradores(as) que integram a equipe da </w:t>
      </w:r>
      <w:proofErr w:type="spellStart"/>
      <w:r w:rsidRPr="00B857B6">
        <w:rPr>
          <w:rFonts w:asciiTheme="minorHAnsi" w:hAnsiTheme="minorHAnsi" w:cstheme="minorHAnsi"/>
          <w:sz w:val="28"/>
        </w:rPr>
        <w:t>Ouvidoria-Geral</w:t>
      </w:r>
      <w:proofErr w:type="spellEnd"/>
      <w:r w:rsidRPr="00B857B6">
        <w:rPr>
          <w:rFonts w:asciiTheme="minorHAnsi" w:hAnsiTheme="minorHAnsi" w:cstheme="minorHAnsi"/>
          <w:sz w:val="28"/>
        </w:rPr>
        <w:t>, cujo profissionalismo e sensibilidade institucional foram essenciais para a implementação das ações relatadas. Para fins de maior detalhamento técnico e estatístico, encontram-se disponíveis os Relatórios Semestrais de Atividades, que apresentam informações complementares e dados pormenorizados sobre os atendimentos e manifestações processadas no período.</w:t>
      </w:r>
    </w:p>
    <w:p w:rsidR="0015418E" w:rsidRPr="00B857B6" w:rsidRDefault="0015418E" w:rsidP="0015418E">
      <w:pPr>
        <w:pStyle w:val="NormalWeb"/>
        <w:ind w:left="567"/>
        <w:jc w:val="both"/>
        <w:rPr>
          <w:rFonts w:asciiTheme="minorHAnsi" w:hAnsiTheme="minorHAnsi" w:cstheme="minorHAnsi"/>
          <w:sz w:val="28"/>
        </w:rPr>
      </w:pPr>
      <w:r w:rsidRPr="00B857B6">
        <w:rPr>
          <w:rFonts w:asciiTheme="minorHAnsi" w:hAnsiTheme="minorHAnsi" w:cstheme="minorHAnsi"/>
          <w:sz w:val="28"/>
        </w:rPr>
        <w:t>Ressalta-se, ainda, a existência da Pesquisa de Satisfação da Ouvidoria, disponibilizada no portal oficial do Tribunal de Justiça de Pernambuco, na aba Ouvidoria, instrumento fundamental para o aperfeiçoamento contínuo dos serviços prestados e para o fortalecimento da participação social na avaliação institucional.</w:t>
      </w:r>
    </w:p>
    <w:p w:rsidR="0015418E" w:rsidRPr="00B857B6" w:rsidRDefault="0015418E" w:rsidP="0015418E">
      <w:pPr>
        <w:pStyle w:val="NormalWeb"/>
        <w:ind w:left="567"/>
        <w:jc w:val="both"/>
        <w:rPr>
          <w:rFonts w:asciiTheme="minorHAnsi" w:hAnsiTheme="minorHAnsi" w:cstheme="minorHAnsi"/>
          <w:sz w:val="28"/>
        </w:rPr>
      </w:pPr>
      <w:r w:rsidRPr="00CF4D1D">
        <w:rPr>
          <w:rFonts w:asciiTheme="minorHAnsi" w:hAnsiTheme="minorHAnsi" w:cstheme="minorHAnsi"/>
          <w:b/>
          <w:sz w:val="28"/>
        </w:rPr>
        <w:t xml:space="preserve">Por fim, registra-se o reconhecimento à gestão que ora se encerra e expressa-se votos de pleno êxito à próxima equipe que assumirá a condução da </w:t>
      </w:r>
      <w:proofErr w:type="spellStart"/>
      <w:r w:rsidRPr="00CF4D1D">
        <w:rPr>
          <w:rFonts w:asciiTheme="minorHAnsi" w:hAnsiTheme="minorHAnsi" w:cstheme="minorHAnsi"/>
          <w:b/>
          <w:sz w:val="28"/>
        </w:rPr>
        <w:t>Ouvidoria-Geral</w:t>
      </w:r>
      <w:proofErr w:type="spellEnd"/>
      <w:r w:rsidRPr="00CF4D1D">
        <w:rPr>
          <w:rFonts w:asciiTheme="minorHAnsi" w:hAnsiTheme="minorHAnsi" w:cstheme="minorHAnsi"/>
          <w:b/>
          <w:sz w:val="28"/>
        </w:rPr>
        <w:t xml:space="preserve"> do TJPE, com a expectativa de que novas iniciativas continuem a ampliar os canais de escuta, fortalecer a transparência e promover uma Justiça cada vez mais acessível, humanizada e próxima do cidadão pernambucano</w:t>
      </w:r>
      <w:r w:rsidRPr="00B857B6">
        <w:rPr>
          <w:rFonts w:asciiTheme="minorHAnsi" w:hAnsiTheme="minorHAnsi" w:cstheme="minorHAnsi"/>
          <w:sz w:val="28"/>
        </w:rPr>
        <w:t>.</w:t>
      </w:r>
    </w:p>
    <w:p w:rsidR="002549B6" w:rsidRPr="00B857B6" w:rsidRDefault="002549B6" w:rsidP="002549B6">
      <w:pPr>
        <w:spacing w:line="369" w:lineRule="auto"/>
        <w:ind w:left="6300" w:right="5638"/>
        <w:jc w:val="center"/>
        <w:rPr>
          <w:rFonts w:asciiTheme="minorHAnsi" w:hAnsiTheme="minorHAnsi" w:cstheme="minorHAnsi"/>
          <w:b/>
          <w:sz w:val="28"/>
        </w:rPr>
      </w:pPr>
      <w:r w:rsidRPr="00B857B6">
        <w:rPr>
          <w:rFonts w:asciiTheme="minorHAnsi" w:hAnsiTheme="minorHAnsi" w:cstheme="minorHAnsi"/>
          <w:b/>
          <w:spacing w:val="-2"/>
          <w:sz w:val="28"/>
        </w:rPr>
        <w:t xml:space="preserve">Atenciosamente, </w:t>
      </w:r>
      <w:r w:rsidRPr="00B857B6">
        <w:rPr>
          <w:rFonts w:asciiTheme="minorHAnsi" w:hAnsiTheme="minorHAnsi" w:cstheme="minorHAnsi"/>
          <w:b/>
          <w:sz w:val="28"/>
        </w:rPr>
        <w:t>Equipe OG.</w:t>
      </w:r>
    </w:p>
    <w:p w:rsidR="002549B6" w:rsidRDefault="002549B6" w:rsidP="002549B6">
      <w:pPr>
        <w:spacing w:line="369" w:lineRule="auto"/>
        <w:jc w:val="center"/>
        <w:rPr>
          <w:sz w:val="28"/>
        </w:rPr>
        <w:sectPr w:rsidR="002549B6">
          <w:pgSz w:w="16840" w:h="11910" w:orient="landscape"/>
          <w:pgMar w:top="1040" w:right="1260" w:bottom="280" w:left="940" w:header="778" w:footer="0" w:gutter="0"/>
          <w:cols w:space="720"/>
        </w:sectPr>
      </w:pPr>
    </w:p>
    <w:p w:rsidR="002549B6" w:rsidRDefault="00800B76" w:rsidP="002549B6">
      <w:pPr>
        <w:tabs>
          <w:tab w:val="left" w:pos="11553"/>
        </w:tabs>
        <w:spacing w:before="15"/>
        <w:ind w:left="303"/>
        <w:rPr>
          <w:b/>
          <w:sz w:val="28"/>
        </w:rPr>
      </w:pPr>
      <w:r>
        <w:rPr>
          <w:noProof/>
          <w:lang w:val="pt-BR" w:eastAsia="pt-BR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-635001</wp:posOffset>
            </wp:positionH>
            <wp:positionV relativeFrom="paragraph">
              <wp:posOffset>117475</wp:posOffset>
            </wp:positionV>
            <wp:extent cx="10752667" cy="6048375"/>
            <wp:effectExtent l="0" t="0" r="0" b="0"/>
            <wp:wrapNone/>
            <wp:docPr id="727" name="Imagem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" name="Black White Grayscale Portfolio Presentation (4)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5717" cy="6050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10"/>
          <w:lang w:val="pt-BR"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92596A" wp14:editId="197D1758">
                <wp:simplePos x="0" y="0"/>
                <wp:positionH relativeFrom="column">
                  <wp:posOffset>-638175</wp:posOffset>
                </wp:positionH>
                <wp:positionV relativeFrom="paragraph">
                  <wp:posOffset>-527050</wp:posOffset>
                </wp:positionV>
                <wp:extent cx="10858500" cy="15382875"/>
                <wp:effectExtent l="0" t="0" r="19050" b="28575"/>
                <wp:wrapNone/>
                <wp:docPr id="726" name="Retângulo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0" cy="15382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95AEC" id="Retângulo 726" o:spid="_x0000_s1026" style="position:absolute;margin-left:-50.25pt;margin-top:-41.5pt;width:855pt;height:12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m6jQIAAGgFAAAOAAAAZHJzL2Uyb0RvYy54bWysVM1u2zAMvg/YOwi6r7azpM2COkWQosOA&#10;oi3aDj2rshQLk0VNUuJkj7NX6YuNkh0n67rLsItNiuTHf55fbBtNNsJ5BaakxUlOiTAcKmVWJf36&#10;ePVhSokPzFRMgxEl3QlPL+bv3523diZGUIOuhCMIYvystSWtQ7CzLPO8Fg3zJ2CFQaEE17CArFtl&#10;lWMtojc6G+X5adaCq6wDLrzH18tOSOcJX0rBw62UXgSiS4qxhfR16fscv9n8nM1Wjtla8T4M9g9R&#10;NEwZdDpAXbLAyNqpP6AaxR14kOGEQ5OBlIqLlANmU+SvsnmomRUpFyyOt0OZ/P+D5TebO0dUVdKz&#10;0SklhjXYpHsRXn6a1VoDia9Yo9b6Gao+2DvXcx7JmPBWuib+MRWyTXXdDXUV20A4Phb5dDKd5Fh/&#10;jsJi8nE6mp5NIm52ALDOh88CGhKJkjpsXaoo21z70KnuVaI/D1pVV0rrxMRxEUvtyIZho8O26MGP&#10;tLKYQxd1osJOi2irzb2QWAGMc5Qcptk7gFXfiu65ZpXo8DEVTKaLadBOySSwiCoxsgG3B/g9yIjb&#10;QfS60UykkR0M878F1BkO2skjmDAYNsqAe8tYh8Frp49hH5Ujks9Q7XAmHHTL4i2/UtiSa+bDHXO4&#10;HdhH3Phwix+poS0p9BQlNbgfb71HfRxalFLS4raV1H9fMyco0V8MjvOnYjyO65mY8eRshIw7ljwf&#10;S8y6WQL2ucDbYnkio37Qe1I6aJ7wMCyiVxQxw9F3SXlwe2YZuiuAp4WLxSKp4UpaFq7Ng+URPFY1&#10;jtzj9ok5289lwKG+gf1mstmr8ex0o6WBxTqAVGl2D3Xt643rnAamPz3xXhzzSetwIOe/AAAA//8D&#10;AFBLAwQUAAYACAAAACEAxVhxBuAAAAAOAQAADwAAAGRycy9kb3ducmV2LnhtbEyPwU7DMBBE70j8&#10;g7VI3Fo7jQgljVOVSjlWiIJydmI3jhqvo9htw9+zPcFtdnc0+6bYzm5gVzOF3qOEZCmAGWy97rGT&#10;8P1VLdbAQlSo1eDRSPgxAbbl40Ohcu1v+Gmux9gxCsGQKwk2xjHnPLTWOBWWfjRIt5OfnIo0Th3X&#10;k7pRuBv4SoiMO9UjfbBqNHtr2vPx4iSM9cGKWu3ez1Wyb7JD9YH1K5fy+WnebYBFM8c/M9zxCR1K&#10;Ymr8BXVgg4RFIsQLeUmtU2p1t2TijVaNhFWakuJlwf/XKH8BAAD//wMAUEsBAi0AFAAGAAgAAAAh&#10;ALaDOJL+AAAA4QEAABMAAAAAAAAAAAAAAAAAAAAAAFtDb250ZW50X1R5cGVzXS54bWxQSwECLQAU&#10;AAYACAAAACEAOP0h/9YAAACUAQAACwAAAAAAAAAAAAAAAAAvAQAAX3JlbHMvLnJlbHNQSwECLQAU&#10;AAYACAAAACEATLApuo0CAABoBQAADgAAAAAAAAAAAAAAAAAuAgAAZHJzL2Uyb0RvYy54bWxQSwEC&#10;LQAUAAYACAAAACEAxVhxBuAAAAAOAQAADwAAAAAAAAAAAAAAAADnBAAAZHJzL2Rvd25yZXYueG1s&#10;UEsFBgAAAAAEAAQA8wAAAPQFAAAAAA==&#10;" fillcolor="black [3213]" strokecolor="black [1600]" strokeweight="1pt"/>
            </w:pict>
          </mc:Fallback>
        </mc:AlternateContent>
      </w:r>
      <w:r w:rsidR="002549B6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9278AB6" wp14:editId="3D0133DF">
                <wp:simplePos x="0" y="0"/>
                <wp:positionH relativeFrom="page">
                  <wp:posOffset>2777489</wp:posOffset>
                </wp:positionH>
                <wp:positionV relativeFrom="paragraph">
                  <wp:posOffset>113411</wp:posOffset>
                </wp:positionV>
                <wp:extent cx="508952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9525">
                              <a:moveTo>
                                <a:pt x="0" y="0"/>
                              </a:moveTo>
                              <a:lnTo>
                                <a:pt x="508952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4470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6CCA1" id="Graphic 31" o:spid="_x0000_s1026" style="position:absolute;margin-left:218.7pt;margin-top:8.95pt;width:400.7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QdKAIAAIIEAAAOAAAAZHJzL2Uyb0RvYy54bWysVMFu2zAMvQ/YPwi6L3ayZG2NOMWQoMWA&#10;oivQDDsrshwbk0WNUmLn70fJdpJ2t2EX4Ul8Jvn4JC/vu0azo0JXg8n5dJJypoyEojb7nP/YPny6&#10;5cx5YQqhwaicn5Tj96uPH5atzdQMKtCFQkZJjMtam/PKe5sliZOVaoSbgFWGgiVgIzxtcZ8UKFrK&#10;3uhklqZfkhawsAhSOUenmz7IVzF/WSrpv5elU57pnFNvPq4Y111Yk9VSZHsUtqrl0Ib4hy4aURsq&#10;ek61EV6wA9Z/pWpqieCg9BMJTQJlWUsVNZCaafpOzWslrIpaaDjOnsfk/l9a+Xx8QVYXOf885cyI&#10;hjx6HMZBJzSe1rqMWK/2BYNAZ59A/nIUSN5EwsYNnK7EJnBJHuvirE/nWavOM0mHi/T2bjFbcCYp&#10;Np3dRCsSkY3fyoPzjwpiHnF8cr53qhiRqEYkOzNCJL+D0zo67Tkjp5EzcnrXO22FD9+F5gJk7aWR&#10;cNbAUW0hRv27zqm1S1Sba9ZZyqiSuD2DQChDs+pBLE34Wpw2oYvpXbpI4w1yoOviodY6tOFwv1tr&#10;ZEdBqubzm3Q9D0IoxRuaRec3wlU9L4YGmjaDUb03waUdFCfyvCWXc+5+HwQqzvQ3Q7cqvJAR4Ah2&#10;I0Cv1xDfUZwQ1dx2PwVaFsrn3JO1zzDeWZGNrgXtZ2740sDXg4eyDpbGS9R3NGzookeBw6MML+l6&#10;H1mXX8fqDwAAAP//AwBQSwMEFAAGAAgAAAAhADSdcpLgAAAACgEAAA8AAABkcnMvZG93bnJldi54&#10;bWxMj8FOwzAQRO9I/IO1SFwQddJWNIQ4FQQQ4oRoK6TcnNjEEfY6xG4b/p7tCW6zmqfZmWI9OcsO&#10;egy9RwHpLAGmsfWqx07Abvt8nQELUaKS1qMW8KMDrMvzs0Lmyh/xXR82sWMUgiGXAkyMQ855aI12&#10;Msz8oJG8Tz86GekcO65GeaRwZ/k8SW64kz3SByMHXRndfm32TsCbqdJXZR5f6uoj2ubhqY7fV7UQ&#10;lxfT/R2wqKf4B8OpPlWHkjo1fo8qMCtguVgtCSVjdQvsBMwXGamGVJYCLwv+f0L5CwAA//8DAFBL&#10;AQItABQABgAIAAAAIQC2gziS/gAAAOEBAAATAAAAAAAAAAAAAAAAAAAAAABbQ29udGVudF9UeXBl&#10;c10ueG1sUEsBAi0AFAAGAAgAAAAhADj9If/WAAAAlAEAAAsAAAAAAAAAAAAAAAAALwEAAF9yZWxz&#10;Ly5yZWxzUEsBAi0AFAAGAAgAAAAhAJlVVB0oAgAAggQAAA4AAAAAAAAAAAAAAAAALgIAAGRycy9l&#10;Mm9Eb2MueG1sUEsBAi0AFAAGAAgAAAAhADSdcpLgAAAACgEAAA8AAAAAAAAAAAAAAAAAggQAAGRy&#10;cy9kb3ducmV2LnhtbFBLBQYAAAAABAAEAPMAAACPBQAAAAA=&#10;" path="m,l5089525,e" filled="f" strokecolor="#4470c4" strokeweight="1.5pt">
                <v:path arrowok="t"/>
                <w10:wrap anchorx="page"/>
              </v:shape>
            </w:pict>
          </mc:Fallback>
        </mc:AlternateContent>
      </w:r>
      <w:r w:rsidR="002549B6">
        <w:rPr>
          <w:b/>
          <w:color w:val="5B9BD3"/>
          <w:sz w:val="28"/>
        </w:rPr>
        <w:t>Ouvidoria-Geral</w:t>
      </w:r>
      <w:r w:rsidR="002549B6">
        <w:rPr>
          <w:b/>
          <w:color w:val="5B9BD3"/>
          <w:spacing w:val="-13"/>
          <w:sz w:val="28"/>
        </w:rPr>
        <w:t xml:space="preserve"> </w:t>
      </w:r>
      <w:r w:rsidR="002549B6">
        <w:rPr>
          <w:b/>
          <w:color w:val="5B9BD3"/>
          <w:sz w:val="28"/>
        </w:rPr>
        <w:t>de</w:t>
      </w:r>
      <w:r w:rsidR="002549B6">
        <w:rPr>
          <w:b/>
          <w:color w:val="5B9BD3"/>
          <w:spacing w:val="-13"/>
          <w:sz w:val="28"/>
        </w:rPr>
        <w:t xml:space="preserve"> </w:t>
      </w:r>
      <w:r w:rsidR="002549B6">
        <w:rPr>
          <w:b/>
          <w:color w:val="5B9BD3"/>
          <w:spacing w:val="-2"/>
          <w:sz w:val="28"/>
        </w:rPr>
        <w:t>Justiça</w:t>
      </w:r>
      <w:r w:rsidR="002549B6">
        <w:rPr>
          <w:b/>
          <w:color w:val="5B9BD3"/>
          <w:sz w:val="28"/>
        </w:rPr>
        <w:tab/>
      </w:r>
      <w:r w:rsidR="002549B6">
        <w:rPr>
          <w:b/>
          <w:color w:val="EB7B2F"/>
          <w:sz w:val="28"/>
        </w:rPr>
        <w:t>Relatório</w:t>
      </w:r>
      <w:r w:rsidR="002549B6">
        <w:rPr>
          <w:b/>
          <w:color w:val="EB7B2F"/>
          <w:spacing w:val="-8"/>
          <w:sz w:val="28"/>
        </w:rPr>
        <w:t xml:space="preserve"> </w:t>
      </w:r>
      <w:r w:rsidR="002549B6">
        <w:rPr>
          <w:b/>
          <w:color w:val="EB7B2F"/>
          <w:spacing w:val="-2"/>
          <w:sz w:val="28"/>
        </w:rPr>
        <w:t>Bienal</w:t>
      </w:r>
    </w:p>
    <w:p w:rsidR="00D90A8A" w:rsidRDefault="00D90A8A"/>
    <w:p w:rsidR="002549B6" w:rsidRDefault="002549B6" w:rsidP="0098383F">
      <w:pPr>
        <w:ind w:left="-851"/>
      </w:pPr>
    </w:p>
    <w:sectPr w:rsidR="002549B6">
      <w:headerReference w:type="default" r:id="rId33"/>
      <w:pgSz w:w="16840" w:h="11910" w:orient="landscape"/>
      <w:pgMar w:top="700" w:right="1260" w:bottom="280" w:left="9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A8A" w:rsidRDefault="00D90A8A" w:rsidP="002549B6">
      <w:r>
        <w:separator/>
      </w:r>
    </w:p>
  </w:endnote>
  <w:endnote w:type="continuationSeparator" w:id="0">
    <w:p w:rsidR="00D90A8A" w:rsidRDefault="00D90A8A" w:rsidP="00254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A8A" w:rsidRDefault="00D90A8A" w:rsidP="008B6AA3">
    <w:pPr>
      <w:pStyle w:val="Rodap"/>
      <w:jc w:val="center"/>
    </w:pPr>
    <w:r>
      <w:rPr>
        <w:noProof/>
        <w:lang w:val="pt-BR" w:eastAsia="pt-BR"/>
      </w:rPr>
      <w:drawing>
        <wp:anchor distT="0" distB="0" distL="114300" distR="114300" simplePos="0" relativeHeight="251666432" behindDoc="1" locked="0" layoutInCell="1" allowOverlap="1" wp14:anchorId="46CBAFBD" wp14:editId="0F21C652">
          <wp:simplePos x="0" y="0"/>
          <wp:positionH relativeFrom="column">
            <wp:posOffset>3275330</wp:posOffset>
          </wp:positionH>
          <wp:positionV relativeFrom="paragraph">
            <wp:posOffset>50800</wp:posOffset>
          </wp:positionV>
          <wp:extent cx="4475480" cy="649645"/>
          <wp:effectExtent l="0" t="0" r="0" b="0"/>
          <wp:wrapNone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" name="versão logo_Prancheta 1 (5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5480" cy="64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A8A" w:rsidRDefault="00D90A8A" w:rsidP="002549B6">
      <w:r>
        <w:separator/>
      </w:r>
    </w:p>
  </w:footnote>
  <w:footnote w:type="continuationSeparator" w:id="0">
    <w:p w:rsidR="00D90A8A" w:rsidRDefault="00D90A8A" w:rsidP="00254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A8A" w:rsidRDefault="00D90A8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ACD2092" wp14:editId="7A673230">
              <wp:simplePos x="0" y="0"/>
              <wp:positionH relativeFrom="page">
                <wp:posOffset>2787650</wp:posOffset>
              </wp:positionH>
              <wp:positionV relativeFrom="page">
                <wp:posOffset>594994</wp:posOffset>
              </wp:positionV>
              <wp:extent cx="508952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95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9525">
                            <a:moveTo>
                              <a:pt x="0" y="0"/>
                            </a:moveTo>
                            <a:lnTo>
                              <a:pt x="5089525" y="0"/>
                            </a:lnTo>
                          </a:path>
                        </a:pathLst>
                      </a:custGeom>
                      <a:ln w="19050">
                        <a:solidFill>
                          <a:srgbClr val="446FC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C779ED" id="Graphic 1" o:spid="_x0000_s1026" style="position:absolute;margin-left:219.5pt;margin-top:46.85pt;width:400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hKLJgIAAIAEAAAOAAAAZHJzL2Uyb0RvYy54bWysVMFu2zAMvQ/YPwi6L3aCpGuNOMWQIMWA&#10;oivQFDsrshwbk0VNVGL370fJdpJ2t2EX4Ul8Jvn4JC/vu0azk3JYg8n5dJJypoyEojaHnL/utl9u&#10;OUMvTCE0GJXzN4X8fvX507K1mZpBBbpQjlESg1lrc155b7MkQVmpRuAErDIULME1wtPWHZLCiZay&#10;NzqZpelN0oIrrAOpEOl00wf5KuYvSyX9j7JE5ZnOOfXm4+riug9rslqK7OCErWo5tCH+oYtG1IaK&#10;nlNthBfs6Oq/UjW1dIBQ+omEJoGyrKWKGkjNNP2g5qUSVkUtNBy05zHh/0srn07PjtUFeceZEQ1Z&#10;9DBMYxqG01rMiPNin12Qh/YR5C+kQPIuEjY4cLrSNYFL4lgXJ/12nrTqPJN0uEhv7xazBWeSYtPZ&#10;12hEIrLxW3lE/6Ag5hGnR/S9T8WIRDUi2ZkROnI7+Kyjz54z8tlxRj7ve5+t8OG70FyArL00Es4a&#10;OKkdxKj/0Dm1dolqc806SxlVErdnEAhlaFY9iKUJX4vTJnQxvUsXabw/CLoutrXWoQ10h/1aO3YS&#10;pGo+v9mu50EIpXhHsw79RmDV82JooGkzGNV7E1zaQ/FGjrdkcs7x91E4xZn+buhOhfcxAjeC/Qic&#10;12uIryhOiGruup/CWRbK59yTtU8w3liRja4F7Wdu+NLAt6OHsg6WxkvUdzRs6JpHgcOTDO/oeh9Z&#10;lx/H6g8AAAD//wMAUEsDBBQABgAIAAAAIQB3QhUd4AAAAAoBAAAPAAAAZHJzL2Rvd25yZXYueG1s&#10;TI/NTsMwEITvSH0Ha5G4UYf+UBLiVBCB1GNbEFVvTrx1osbrKHab8PZ1TnCcndHsN+l6MA27Yudq&#10;SwKephEwpNKqmrSA76/PxxdgzktSsrGEAn7RwTqb3KUyUbanHV73XrNQQi6RAirv24RzV1ZopJva&#10;Fil4J9sZ6YPsNFed7EO5afgsip65kTWFD5VsMa+wPO8vRsBBU/H+029OR11vtqv8oD+O+VaIh/vh&#10;7RWYx8H/hWHED+iQBabCXkg51ghYzOOwxQuI5ytgY2C2iJbAivESA89S/n9CdgMAAP//AwBQSwEC&#10;LQAUAAYACAAAACEAtoM4kv4AAADhAQAAEwAAAAAAAAAAAAAAAAAAAAAAW0NvbnRlbnRfVHlwZXNd&#10;LnhtbFBLAQItABQABgAIAAAAIQA4/SH/1gAAAJQBAAALAAAAAAAAAAAAAAAAAC8BAABfcmVscy8u&#10;cmVsc1BLAQItABQABgAIAAAAIQAlYhKLJgIAAIAEAAAOAAAAAAAAAAAAAAAAAC4CAABkcnMvZTJv&#10;RG9jLnhtbFBLAQItABQABgAIAAAAIQB3QhUd4AAAAAoBAAAPAAAAAAAAAAAAAAAAAIAEAABkcnMv&#10;ZG93bnJldi54bWxQSwUGAAAAAAQABADzAAAAjQUAAAAA&#10;" path="m,l5089525,e" filled="f" strokecolor="#446fc4" strokeweight="1.5pt">
              <v:path arrowok="t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3FD61A2" wp14:editId="0A9769FB">
              <wp:simplePos x="0" y="0"/>
              <wp:positionH relativeFrom="page">
                <wp:posOffset>776731</wp:posOffset>
              </wp:positionH>
              <wp:positionV relativeFrom="page">
                <wp:posOffset>492124</wp:posOffset>
              </wp:positionV>
              <wp:extent cx="1897380" cy="2038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738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90A8A" w:rsidRDefault="00D90A8A">
                          <w:pPr>
                            <w:pStyle w:val="Corpodetexto"/>
                            <w:spacing w:line="306" w:lineRule="exact"/>
                            <w:ind w:left="20"/>
                          </w:pPr>
                          <w:r>
                            <w:rPr>
                              <w:color w:val="5B9BD2"/>
                              <w:spacing w:val="-2"/>
                            </w:rPr>
                            <w:t>Ouvidoria-Geral</w:t>
                          </w:r>
                          <w:r>
                            <w:rPr>
                              <w:color w:val="5B9BD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5B9BD2"/>
                              <w:spacing w:val="-2"/>
                            </w:rPr>
                            <w:t>de</w:t>
                          </w:r>
                          <w:r>
                            <w:rPr>
                              <w:color w:val="5B9BD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5B9BD2"/>
                              <w:spacing w:val="-2"/>
                            </w:rPr>
                            <w:t>Justiça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D61A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1.15pt;margin-top:38.75pt;width:149.4pt;height:16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OOxpwEAAD8DAAAOAAAAZHJzL2Uyb0RvYy54bWysUsFu2zAMvQ/oPwi6N3YdbMuMOMXWYsOA&#10;YhvQ7gNkWYqFWaIqKrHz96NkJy2227CLTJlPj3yP3N5OdmBHFdCAa/jNquRMOQmdcfuG/3z6fL3h&#10;DKNwnRjAqYafFPLb3dWb7ehrVUEPQ6cCIxKH9egb3sfo66JA2SsrcAVeOUpqCFZEuoZ90QUxErsd&#10;iqos3xUjhM4HkAqR/t7PSb7L/ForGb9rjSqyoeHUW8xnyGebzmK3FfU+CN8bubQh/qELK4yjoheq&#10;exEFOwTzF5U1MgCCjisJtgCtjVRZA6m5Kf9Q89gLr7IWMgf9xSb8f7Ty2/FHYKZreMWZE5ZG9KSm&#10;2MLEqmTO6LEmzKMnVJw+wURDzkLRP4D8hQQpXmHmB0joZMakg01fksnoIfl/unhORZhMbJsP79cb&#10;SknKVeV6s36b6hYvr33A+EWBZSloeKCZ5g7E8QHjDD1Dlmbm+qmtOLXToqKF7kQiRpp1w/H5IILi&#10;bPjqyMy0GOcgnIP2HIQ43EFen6TFwcdDBG1y5VRi5l0q05Ry78tGpTV4fc+ol73f/QYAAP//AwBQ&#10;SwMEFAAGAAgAAAAhAGny+2fgAAAACgEAAA8AAABkcnMvZG93bnJldi54bWxMj8FOwzAQRO9I/IO1&#10;SNyok0CbEuJUqKjigHpoAanHbWziiNiObDd1/57lBMfRPM2+rVfJDGxSPvTOCshnGTBlWyd72wn4&#10;eN/cLYGFiFbi4KwScFEBVs31VY2VdGe7U9M+doxGbKhQgI5xrDgPrVYGw8yNylL35bzBSNF3XHo8&#10;07gZeJFlC26wt3RB46jWWrXf+5MR8LkeN2/poHE7zeXrS1HuLr5NQtzepOcnYFGl+AfDrz6pQ0NO&#10;R3eyMrCBclHcEyqgLOfACHgo8hzYkZrscQG8qfn/F5ofAAAA//8DAFBLAQItABQABgAIAAAAIQC2&#10;gziS/gAAAOEBAAATAAAAAAAAAAAAAAAAAAAAAABbQ29udGVudF9UeXBlc10ueG1sUEsBAi0AFAAG&#10;AAgAAAAhADj9If/WAAAAlAEAAAsAAAAAAAAAAAAAAAAALwEAAF9yZWxzLy5yZWxzUEsBAi0AFAAG&#10;AAgAAAAhAAsg47GnAQAAPwMAAA4AAAAAAAAAAAAAAAAALgIAAGRycy9lMm9Eb2MueG1sUEsBAi0A&#10;FAAGAAgAAAAhAGny+2fgAAAACgEAAA8AAAAAAAAAAAAAAAAAAQQAAGRycy9kb3ducmV2LnhtbFBL&#10;BQYAAAAABAAEAPMAAAAOBQAAAAA=&#10;" filled="f" stroked="f">
              <v:path arrowok="t"/>
              <v:textbox inset="0,0,0,0">
                <w:txbxContent>
                  <w:p w:rsidR="00D90A8A" w:rsidRDefault="00D90A8A">
                    <w:pPr>
                      <w:pStyle w:val="Corpodetexto"/>
                      <w:spacing w:line="306" w:lineRule="exact"/>
                      <w:ind w:left="20"/>
                    </w:pPr>
                    <w:r>
                      <w:rPr>
                        <w:color w:val="5B9BD2"/>
                        <w:spacing w:val="-2"/>
                      </w:rPr>
                      <w:t>Ouvidoria-Geral</w:t>
                    </w:r>
                    <w:r>
                      <w:rPr>
                        <w:color w:val="5B9BD2"/>
                        <w:spacing w:val="-7"/>
                      </w:rPr>
                      <w:t xml:space="preserve"> </w:t>
                    </w:r>
                    <w:r>
                      <w:rPr>
                        <w:color w:val="5B9BD2"/>
                        <w:spacing w:val="-2"/>
                      </w:rPr>
                      <w:t>de</w:t>
                    </w:r>
                    <w:r>
                      <w:rPr>
                        <w:color w:val="5B9BD2"/>
                        <w:spacing w:val="-9"/>
                      </w:rPr>
                      <w:t xml:space="preserve"> </w:t>
                    </w:r>
                    <w:r>
                      <w:rPr>
                        <w:color w:val="5B9BD2"/>
                        <w:spacing w:val="-2"/>
                      </w:rPr>
                      <w:t>Justiça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DC98BC3" wp14:editId="68039FEA">
              <wp:simplePos x="0" y="0"/>
              <wp:positionH relativeFrom="page">
                <wp:posOffset>7952993</wp:posOffset>
              </wp:positionH>
              <wp:positionV relativeFrom="page">
                <wp:posOffset>492124</wp:posOffset>
              </wp:positionV>
              <wp:extent cx="1974850" cy="2038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90A8A" w:rsidRDefault="00D90A8A">
                          <w:pPr>
                            <w:pStyle w:val="Corpodetexto"/>
                            <w:spacing w:line="306" w:lineRule="exact"/>
                            <w:ind w:left="20"/>
                          </w:pPr>
                          <w:r>
                            <w:rPr>
                              <w:color w:val="EB7A2E"/>
                              <w:spacing w:val="-2"/>
                            </w:rPr>
                            <w:t>Relatório</w:t>
                          </w:r>
                          <w:r>
                            <w:rPr>
                              <w:color w:val="EB7A2E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EB7A2E"/>
                              <w:spacing w:val="-2"/>
                            </w:rPr>
                            <w:t>Bienal</w:t>
                          </w:r>
                          <w:r>
                            <w:rPr>
                              <w:color w:val="EB7A2E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EB7A2E"/>
                              <w:spacing w:val="-2"/>
                            </w:rPr>
                            <w:t>2024-</w:t>
                          </w:r>
                          <w:r>
                            <w:rPr>
                              <w:color w:val="EB7A2E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C98BC3" id="Textbox 3" o:spid="_x0000_s1027" type="#_x0000_t202" style="position:absolute;margin-left:626.2pt;margin-top:38.75pt;width:155.5pt;height:16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5jyqgEAAEYDAAAOAAAAZHJzL2Uyb0RvYy54bWysUsFu2zAMvQ/oPwi6N3KSdcuMOMXaYsOA&#10;YhvQ7gNkWYqNWaImKrHz96PkOC2227CLTJlPj++R3N6OtmdHHbADV/HlouBMOwVN5/YV//H86XrD&#10;GUbpGtmD0xU/aeS3u6s328GXegUt9I0OjEgcloOveBujL4VA1WorcQFeO0oaCFZGuoa9aIIciN32&#10;YlUU78QAofEBlEakvw9Tku8yvzFaxW/GoI6srzhpi/kM+azTKXZbWe6D9G2nzjLkP6iwsnNU9EL1&#10;IKNkh9D9RWU7FQDBxIUCK8CYTunsgdwsiz/cPLXS6+yFmoP+0ib8f7Tq6/F7YF1T8TVnTloa0bMe&#10;Yw0jW6fmDB5Lwjx5QsXxDkYacjaK/hHUTySIeIWZHiChUzNGE2z6kk1GD6n/p0vPqQhTie3D+7eb&#10;G0opyq2K9WZ9k+qKl9c+YPyswbIUVDzQTLMCeXzEOEFnyFnMVD/JimM9ZnfL2UwNzYm8DDTyiuOv&#10;gwyas/6Lo56m/ZiDMAf1HITY30PeomTJwcdDBNNlAanSxHsWQMPKFs6Llbbh9T2jXtZ/9xsAAP//&#10;AwBQSwMEFAAGAAgAAAAhAG5IiO/hAAAADAEAAA8AAABkcnMvZG93bnJldi54bWxMj8FOwzAQRO9I&#10;/IO1SNyoQyAJhDgVKqo4oB5aQOLoxiaOiNeR7abu37M9wW1ndzT7plkmO7JZ+zA4FHC7yIBp7Jwa&#10;sBfw8b6+eQAWokQlR4dawEkHWLaXF42slTviVs+72DMKwVBLASbGqeY8dEZbGRZu0ki3b+etjCR9&#10;z5WXRwq3I8+zrORWDkgfjJz0yujuZ3ewAj5X0/otfRm5mQv1+pJX25PvkhDXV+n5CVjUKf6Z4YxP&#10;6NAS094dUAU2ks6L/J68AqqqAHZ2FOUdbfY0ZY8l8Lbh/0u0vwAAAP//AwBQSwECLQAUAAYACAAA&#10;ACEAtoM4kv4AAADhAQAAEwAAAAAAAAAAAAAAAAAAAAAAW0NvbnRlbnRfVHlwZXNdLnhtbFBLAQIt&#10;ABQABgAIAAAAIQA4/SH/1gAAAJQBAAALAAAAAAAAAAAAAAAAAC8BAABfcmVscy8ucmVsc1BLAQIt&#10;ABQABgAIAAAAIQAcm5jyqgEAAEYDAAAOAAAAAAAAAAAAAAAAAC4CAABkcnMvZTJvRG9jLnhtbFBL&#10;AQItABQABgAIAAAAIQBuSIjv4QAAAAwBAAAPAAAAAAAAAAAAAAAAAAQEAABkcnMvZG93bnJldi54&#10;bWxQSwUGAAAAAAQABADzAAAAEgUAAAAA&#10;" filled="f" stroked="f">
              <v:path arrowok="t"/>
              <v:textbox inset="0,0,0,0">
                <w:txbxContent>
                  <w:p w:rsidR="00D90A8A" w:rsidRDefault="00D90A8A">
                    <w:pPr>
                      <w:pStyle w:val="Corpodetexto"/>
                      <w:spacing w:line="306" w:lineRule="exact"/>
                      <w:ind w:left="20"/>
                    </w:pPr>
                    <w:r>
                      <w:rPr>
                        <w:color w:val="EB7A2E"/>
                        <w:spacing w:val="-2"/>
                      </w:rPr>
                      <w:t>Relatório</w:t>
                    </w:r>
                    <w:r>
                      <w:rPr>
                        <w:color w:val="EB7A2E"/>
                        <w:spacing w:val="-1"/>
                      </w:rPr>
                      <w:t xml:space="preserve"> </w:t>
                    </w:r>
                    <w:r>
                      <w:rPr>
                        <w:color w:val="EB7A2E"/>
                        <w:spacing w:val="-2"/>
                      </w:rPr>
                      <w:t>Bienal</w:t>
                    </w:r>
                    <w:r>
                      <w:rPr>
                        <w:color w:val="EB7A2E"/>
                        <w:spacing w:val="4"/>
                      </w:rPr>
                      <w:t xml:space="preserve"> </w:t>
                    </w:r>
                    <w:r>
                      <w:rPr>
                        <w:color w:val="EB7A2E"/>
                        <w:spacing w:val="-2"/>
                      </w:rPr>
                      <w:t>2024-</w:t>
                    </w:r>
                    <w:r>
                      <w:rPr>
                        <w:color w:val="EB7A2E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A8A" w:rsidRDefault="00D90A8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E1AB962" wp14:editId="1246DB97">
              <wp:simplePos x="0" y="0"/>
              <wp:positionH relativeFrom="page">
                <wp:posOffset>2777489</wp:posOffset>
              </wp:positionH>
              <wp:positionV relativeFrom="page">
                <wp:posOffset>561975</wp:posOffset>
              </wp:positionV>
              <wp:extent cx="5089525" cy="127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95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9525">
                            <a:moveTo>
                              <a:pt x="0" y="0"/>
                            </a:moveTo>
                            <a:lnTo>
                              <a:pt x="5089525" y="0"/>
                            </a:lnTo>
                          </a:path>
                        </a:pathLst>
                      </a:custGeom>
                      <a:ln w="19050">
                        <a:solidFill>
                          <a:srgbClr val="4470C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4AE96A" id="Graphic 15" o:spid="_x0000_s1026" style="position:absolute;margin-left:218.7pt;margin-top:44.25pt;width:400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6VrJgIAAIIEAAAOAAAAZHJzL2Uyb0RvYy54bWysVMFu2zAMvQ/YPwi6L3aCZG2NOMWQoMWA&#10;oivQFDsrshwbk0WNUmLn70fJdpJ2t2EX4Ul8Jvn4JC/vu0azo0JXg8n5dJJypoyEojb7nL9tH77c&#10;cua8MIXQYFTOT8rx+9XnT8vWZmoGFehCIaMkxmWtzXnlvc2SxMlKNcJNwCpDwRKwEZ62uE8KFC1l&#10;b3QyS9OvSQtYWASpnKPTTR/kq5i/LJX0P8rSKc90zqk3H1eM6y6syWopsj0KW9VyaEP8QxeNqA0V&#10;PafaCC/YAeu/UjW1RHBQ+omEJoGyrKWKGkjNNP2g5rUSVkUtNBxnz2Ny/y+tfD6+IKsL8m7BmREN&#10;efQ4jINOaDytdRmxXu0LBoHOPoH85SiQvIuEjRs4XYlN4JI81sVZn86zVp1nkg4X6e3dYkY1JcWm&#10;s5toRSKy8Vt5cP5RQcwjjk/O904VIxLViGRnRojkd3BaR6c9Z+Q0ckZO73qnrfDhu9BcgKy9NBLO&#10;GjiqLcSo/9A5tXaJanPNOksZVRK3ZxAIZWhWPYilCV+L0yZ0Mb1LF2m8QQ50XTzUWoc2HO53a43s&#10;KEjVfH6TrudBCKV4R7Po/Ea4qufF0EDTZjCq9ya4tIPiRJ635HLO3e+DQMWZ/m7oVoUXMgIcwW4E&#10;6PUa4juKE6Ka2+6nQMtC+Zx7svYZxjsrstG1oP3MDV8a+HbwUNbB0niJ+o6GDV30KHB4lOElXe8j&#10;6/LrWP0BAAD//wMAUEsDBBQABgAIAAAAIQCWvBjx4QAAAAoBAAAPAAAAZHJzL2Rvd25yZXYueG1s&#10;TI/LTsMwEEX3SPyDNUhsEHX6gIYQp4JAhVghCkLKzomHOMIeh9htw9/jrGA5M0d3zs03ozXsgIPv&#10;HAmYzxJgSI1THbUC3t+2lykwHyQpaRyhgB/0sClOT3KZKXekVzzsQstiCPlMCtAh9BnnvtFopZ+5&#10;HinePt1gZYjj0HI1yGMMt4YvkuSaW9lR/KBlj6XG5mu3twJedDl/VvrhqSo/gqnvH6vwfVEJcX42&#10;3t0CCziGPxgm/agORXSq3Z6UZ0bAarleRVRAml4Bm4DFMr0BVk+bNfAi5/8rFL8AAAD//wMAUEsB&#10;Ai0AFAAGAAgAAAAhALaDOJL+AAAA4QEAABMAAAAAAAAAAAAAAAAAAAAAAFtDb250ZW50X1R5cGVz&#10;XS54bWxQSwECLQAUAAYACAAAACEAOP0h/9YAAACUAQAACwAAAAAAAAAAAAAAAAAvAQAAX3JlbHMv&#10;LnJlbHNQSwECLQAUAAYACAAAACEAh5elayYCAACCBAAADgAAAAAAAAAAAAAAAAAuAgAAZHJzL2Uy&#10;b0RvYy54bWxQSwECLQAUAAYACAAAACEAlrwY8eEAAAAKAQAADwAAAAAAAAAAAAAAAACABAAAZHJz&#10;L2Rvd25yZXYueG1sUEsFBgAAAAAEAAQA8wAAAI4FAAAAAA==&#10;" path="m,l5089525,e" filled="f" strokecolor="#4470c4" strokeweight="1.5pt">
              <v:path arrowok="t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362F46A" wp14:editId="46476810">
              <wp:simplePos x="0" y="0"/>
              <wp:positionH relativeFrom="page">
                <wp:posOffset>776731</wp:posOffset>
              </wp:positionH>
              <wp:positionV relativeFrom="page">
                <wp:posOffset>481457</wp:posOffset>
              </wp:positionV>
              <wp:extent cx="1948814" cy="2038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8814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90A8A" w:rsidRDefault="00D90A8A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5B9BD3"/>
                              <w:sz w:val="28"/>
                            </w:rPr>
                            <w:t>Ouvidoria-Geral</w:t>
                          </w:r>
                          <w:r>
                            <w:rPr>
                              <w:b/>
                              <w:color w:val="5B9BD3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B9BD3"/>
                              <w:sz w:val="28"/>
                            </w:rPr>
                            <w:t>de</w:t>
                          </w:r>
                          <w:r>
                            <w:rPr>
                              <w:b/>
                              <w:color w:val="5B9BD3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B9BD3"/>
                              <w:spacing w:val="-2"/>
                              <w:sz w:val="28"/>
                            </w:rPr>
                            <w:t>Justiça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62F46A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8" type="#_x0000_t202" style="position:absolute;margin-left:61.15pt;margin-top:37.9pt;width:153.45pt;height:16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MerQEAAEgDAAAOAAAAZHJzL2Uyb0RvYy54bWysU8tu2zAQvBfIPxC8x5KdB1zBctA2aBEg&#10;aAsk+QCKIi2iIpfl0pb8911SlhO0t6AXakkOZ2d2V5u70fbsoAIacDVfLkrOlJPQGrer+cvz18s1&#10;ZxiFa0UPTtX8qJDfbS8+bAZfqRV00LcqMCJxWA2+5l2MvioKlJ2yAhfglaNLDcGKSNuwK9ogBmK3&#10;fbEqy9tigND6AFIh0un9dMm3mV9rJeMPrVFF1tectMW8hrw2aS22G1HtgvCdkScZ4h0qrDCOkp6p&#10;7kUUbB/MP1TWyAAIOi4k2AK0NlJlD+RmWf7l5qkTXmUvVBz05zLh/6OV3w8/AzMt9e6WMycs9ehZ&#10;jbGBkdEJlWfwWBHqyRMujp9hJGi2iv4R5C8kSPEGMz1AQqdyjDrY9CWjjB5SB47nqlMWJhPbx+v1&#10;ennNmaS7VXm1vrpJeYvX1z5g/KbAshTUPFBXswJxeMQ4QWfIScyUP8mKYzNmf6vZTAPtkbwM1PSa&#10;4++9CIqz/sFRVdOEzEGYg2YOQuy/QJ6jZMnBp30EbbKAlGniPQmgdmULp9FK8/B2n1GvP8D2DwAA&#10;AP//AwBQSwMEFAAGAAgAAAAhAB78+2PfAAAACgEAAA8AAABkcnMvZG93bnJldi54bWxMjzFPwzAU&#10;hHck/oP1kNiog6GkDXEqVFQxIIYWkDq+xiaOiO3IdlP33/OYYDzd6e67epXtwCYdYu+dhNtZAUy7&#10;1qvedRI+3jc3C2AxoVM4eKclnHWEVXN5UWOl/Mlt9bRLHaMSFyuUYFIaK85ja7TFOPOjduR9+WAx&#10;kQwdVwFPVG4HLorigVvsHS0YHPXa6PZ7d7QSPtfj5jXvDb5Nc/XyLMrtObRZyuur/PQILOmc/sLw&#10;i0/o0BDTwR+dimwgLcQdRSWUc7pAgXuxFMAO5BTlEnhT8/8Xmh8AAAD//wMAUEsBAi0AFAAGAAgA&#10;AAAhALaDOJL+AAAA4QEAABMAAAAAAAAAAAAAAAAAAAAAAFtDb250ZW50X1R5cGVzXS54bWxQSwEC&#10;LQAUAAYACAAAACEAOP0h/9YAAACUAQAACwAAAAAAAAAAAAAAAAAvAQAAX3JlbHMvLnJlbHNQSwEC&#10;LQAUAAYACAAAACEAQzHTHq0BAABIAwAADgAAAAAAAAAAAAAAAAAuAgAAZHJzL2Uyb0RvYy54bWxQ&#10;SwECLQAUAAYACAAAACEAHvz7Y98AAAAKAQAADwAAAAAAAAAAAAAAAAAHBAAAZHJzL2Rvd25yZXYu&#10;eG1sUEsFBgAAAAAEAAQA8wAAABMFAAAAAA==&#10;" filled="f" stroked="f">
              <v:path arrowok="t"/>
              <v:textbox inset="0,0,0,0">
                <w:txbxContent>
                  <w:p w:rsidR="00D90A8A" w:rsidRDefault="00D90A8A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5B9BD3"/>
                        <w:sz w:val="28"/>
                      </w:rPr>
                      <w:t>Ouvidoria-Geral</w:t>
                    </w:r>
                    <w:r>
                      <w:rPr>
                        <w:b/>
                        <w:color w:val="5B9BD3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5B9BD3"/>
                        <w:sz w:val="28"/>
                      </w:rPr>
                      <w:t>de</w:t>
                    </w:r>
                    <w:r>
                      <w:rPr>
                        <w:b/>
                        <w:color w:val="5B9BD3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5B9BD3"/>
                        <w:spacing w:val="-2"/>
                        <w:sz w:val="28"/>
                      </w:rPr>
                      <w:t>Justiça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C701AAF" wp14:editId="33BC827E">
              <wp:simplePos x="0" y="0"/>
              <wp:positionH relativeFrom="page">
                <wp:posOffset>7920608</wp:posOffset>
              </wp:positionH>
              <wp:positionV relativeFrom="page">
                <wp:posOffset>481457</wp:posOffset>
              </wp:positionV>
              <wp:extent cx="1207135" cy="2038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713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90A8A" w:rsidRDefault="00D90A8A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EB7B2F"/>
                              <w:sz w:val="28"/>
                            </w:rPr>
                            <w:t>Relatório</w:t>
                          </w:r>
                          <w:r>
                            <w:rPr>
                              <w:b/>
                              <w:color w:val="EB7B2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B7B2F"/>
                              <w:spacing w:val="-2"/>
                              <w:sz w:val="28"/>
                            </w:rPr>
                            <w:t>Bienal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701AAF" id="Textbox 17" o:spid="_x0000_s1029" type="#_x0000_t202" style="position:absolute;margin-left:623.65pt;margin-top:37.9pt;width:95.05pt;height:16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Rf9qgEAAEgDAAAOAAAAZHJzL2Uyb0RvYy54bWysU8GO0zAQvSPxD5bvNGkr2FXUdAWsQEgr&#10;QNrlAxzHbiJij5lxm/TvGTtNdwU3xMUZ289v3puZ7O4mN4iTQerB13K9KqUwXkPb+0Mtfzx9enMr&#10;BUXlWzWAN7U8G5J3+9evdmOozAY6GFqDgkk8VWOoZRdjqIqCdGecohUE4/nSAjoVeYuHokU1Mrsb&#10;ik1ZvitGwDYgaEPEp/fzpdxnfmuNjt+sJRPFUEvWFvOKeW3SWux3qjqgCl2vLzLUP6hwqvec9Ep1&#10;r6ISR+z/onK9RiCwcaXBFWBtr032wG7W5R9uHjsVTPbCxaFwLRP9P1r99fQdRd9y726k8Mpxj57M&#10;FBuYBJ9wecZAFaMeA+Pi9AEmhmarFB5A/ySGFC8w8wNidCrHZNGlLxsV/JA7cL5WnbMIndg25c16&#10;+1YKzXebcnvLcSJ9fh2Q4mcDTqSglshdzQrU6YHiDF0gFzFz/iQrTs2U/W0XMw20Z/YyctNrSb+O&#10;Co0UwxfPVU0TsgS4BM0SYBw+Qp6jZMnD+2ME22cBKdPMexHA7coWLqOV5uHlPqOef4D9bwAAAP//&#10;AwBQSwMEFAAGAAgAAAAhAFaVnlPhAAAADAEAAA8AAABkcnMvZG93bnJldi54bWxMjz1PwzAQhnck&#10;/oN1SGzUIU1xCXEqVFQxIIYWkDq6sYkj4nMUu6n777lOsN2re/R+VKvkejaZMXQeJdzPMmAGG687&#10;bCV8fmzulsBCVKhV79FIOJsAq/r6qlKl9ifcmmkXW0YmGEolwcY4lJyHxhqnwswPBun37UenIsmx&#10;5XpUJzJ3Pc+z7IE71SElWDWYtTXNz+7oJHyth81b2lv1Pi3060sutuexSVLe3qTnJ2DRpPgHw6U+&#10;VYeaOh38EXVgPem8EHNiJYgFbbgQxVwUwA50ZeIReF3x/yPqXwAAAP//AwBQSwECLQAUAAYACAAA&#10;ACEAtoM4kv4AAADhAQAAEwAAAAAAAAAAAAAAAAAAAAAAW0NvbnRlbnRfVHlwZXNdLnhtbFBLAQIt&#10;ABQABgAIAAAAIQA4/SH/1gAAAJQBAAALAAAAAAAAAAAAAAAAAC8BAABfcmVscy8ucmVsc1BLAQIt&#10;ABQABgAIAAAAIQCLDRf9qgEAAEgDAAAOAAAAAAAAAAAAAAAAAC4CAABkcnMvZTJvRG9jLnhtbFBL&#10;AQItABQABgAIAAAAIQBWlZ5T4QAAAAwBAAAPAAAAAAAAAAAAAAAAAAQEAABkcnMvZG93bnJldi54&#10;bWxQSwUGAAAAAAQABADzAAAAEgUAAAAA&#10;" filled="f" stroked="f">
              <v:path arrowok="t"/>
              <v:textbox inset="0,0,0,0">
                <w:txbxContent>
                  <w:p w:rsidR="00D90A8A" w:rsidRDefault="00D90A8A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EB7B2F"/>
                        <w:sz w:val="28"/>
                      </w:rPr>
                      <w:t>Relatório</w:t>
                    </w:r>
                    <w:r>
                      <w:rPr>
                        <w:b/>
                        <w:color w:val="EB7B2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EB7B2F"/>
                        <w:spacing w:val="-2"/>
                        <w:sz w:val="28"/>
                      </w:rPr>
                      <w:t>Bienal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A8A" w:rsidRDefault="00D90A8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100C"/>
    <w:multiLevelType w:val="hybridMultilevel"/>
    <w:tmpl w:val="8CD66398"/>
    <w:lvl w:ilvl="0" w:tplc="4350D41E">
      <w:numFmt w:val="bullet"/>
      <w:lvlText w:val=""/>
      <w:lvlJc w:val="left"/>
      <w:pPr>
        <w:ind w:left="1196" w:hanging="423"/>
      </w:pPr>
      <w:rPr>
        <w:rFonts w:ascii="Wingdings" w:eastAsia="Wingdings" w:hAnsi="Wingdings" w:cs="Wingdings" w:hint="default"/>
        <w:spacing w:val="0"/>
        <w:w w:val="100"/>
        <w:lang w:val="pt-PT" w:eastAsia="en-US" w:bidi="ar-SA"/>
      </w:rPr>
    </w:lvl>
    <w:lvl w:ilvl="1" w:tplc="1BA008A2">
      <w:numFmt w:val="bullet"/>
      <w:lvlText w:val="•"/>
      <w:lvlJc w:val="left"/>
      <w:pPr>
        <w:ind w:left="2543" w:hanging="423"/>
      </w:pPr>
      <w:rPr>
        <w:rFonts w:hint="default"/>
        <w:lang w:val="pt-PT" w:eastAsia="en-US" w:bidi="ar-SA"/>
      </w:rPr>
    </w:lvl>
    <w:lvl w:ilvl="2" w:tplc="69A8E104">
      <w:numFmt w:val="bullet"/>
      <w:lvlText w:val="•"/>
      <w:lvlJc w:val="left"/>
      <w:pPr>
        <w:ind w:left="3887" w:hanging="423"/>
      </w:pPr>
      <w:rPr>
        <w:rFonts w:hint="default"/>
        <w:lang w:val="pt-PT" w:eastAsia="en-US" w:bidi="ar-SA"/>
      </w:rPr>
    </w:lvl>
    <w:lvl w:ilvl="3" w:tplc="D49A8EBE">
      <w:numFmt w:val="bullet"/>
      <w:lvlText w:val="•"/>
      <w:lvlJc w:val="left"/>
      <w:pPr>
        <w:ind w:left="5231" w:hanging="423"/>
      </w:pPr>
      <w:rPr>
        <w:rFonts w:hint="default"/>
        <w:lang w:val="pt-PT" w:eastAsia="en-US" w:bidi="ar-SA"/>
      </w:rPr>
    </w:lvl>
    <w:lvl w:ilvl="4" w:tplc="9DAC37BC">
      <w:numFmt w:val="bullet"/>
      <w:lvlText w:val="•"/>
      <w:lvlJc w:val="left"/>
      <w:pPr>
        <w:ind w:left="6575" w:hanging="423"/>
      </w:pPr>
      <w:rPr>
        <w:rFonts w:hint="default"/>
        <w:lang w:val="pt-PT" w:eastAsia="en-US" w:bidi="ar-SA"/>
      </w:rPr>
    </w:lvl>
    <w:lvl w:ilvl="5" w:tplc="91782D86">
      <w:numFmt w:val="bullet"/>
      <w:lvlText w:val="•"/>
      <w:lvlJc w:val="left"/>
      <w:pPr>
        <w:ind w:left="7919" w:hanging="423"/>
      </w:pPr>
      <w:rPr>
        <w:rFonts w:hint="default"/>
        <w:lang w:val="pt-PT" w:eastAsia="en-US" w:bidi="ar-SA"/>
      </w:rPr>
    </w:lvl>
    <w:lvl w:ilvl="6" w:tplc="C6BEEC6A">
      <w:numFmt w:val="bullet"/>
      <w:lvlText w:val="•"/>
      <w:lvlJc w:val="left"/>
      <w:pPr>
        <w:ind w:left="9263" w:hanging="423"/>
      </w:pPr>
      <w:rPr>
        <w:rFonts w:hint="default"/>
        <w:lang w:val="pt-PT" w:eastAsia="en-US" w:bidi="ar-SA"/>
      </w:rPr>
    </w:lvl>
    <w:lvl w:ilvl="7" w:tplc="2AEC12CE">
      <w:numFmt w:val="bullet"/>
      <w:lvlText w:val="•"/>
      <w:lvlJc w:val="left"/>
      <w:pPr>
        <w:ind w:left="10606" w:hanging="423"/>
      </w:pPr>
      <w:rPr>
        <w:rFonts w:hint="default"/>
        <w:lang w:val="pt-PT" w:eastAsia="en-US" w:bidi="ar-SA"/>
      </w:rPr>
    </w:lvl>
    <w:lvl w:ilvl="8" w:tplc="B77CB106">
      <w:numFmt w:val="bullet"/>
      <w:lvlText w:val="•"/>
      <w:lvlJc w:val="left"/>
      <w:pPr>
        <w:ind w:left="11950" w:hanging="423"/>
      </w:pPr>
      <w:rPr>
        <w:rFonts w:hint="default"/>
        <w:lang w:val="pt-PT" w:eastAsia="en-US" w:bidi="ar-SA"/>
      </w:rPr>
    </w:lvl>
  </w:abstractNum>
  <w:abstractNum w:abstractNumId="1" w15:restartNumberingAfterBreak="0">
    <w:nsid w:val="0C555360"/>
    <w:multiLevelType w:val="hybridMultilevel"/>
    <w:tmpl w:val="C6B836CC"/>
    <w:lvl w:ilvl="0" w:tplc="852C6270">
      <w:numFmt w:val="bullet"/>
      <w:lvlText w:val=""/>
      <w:lvlJc w:val="left"/>
      <w:pPr>
        <w:ind w:left="47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E3D4F7EA">
      <w:numFmt w:val="bullet"/>
      <w:lvlText w:val="•"/>
      <w:lvlJc w:val="left"/>
      <w:pPr>
        <w:ind w:left="2116" w:hanging="567"/>
      </w:pPr>
      <w:rPr>
        <w:rFonts w:hint="default"/>
        <w:lang w:val="pt-PT" w:eastAsia="en-US" w:bidi="ar-SA"/>
      </w:rPr>
    </w:lvl>
    <w:lvl w:ilvl="2" w:tplc="5BB6B76E">
      <w:numFmt w:val="bullet"/>
      <w:lvlText w:val="•"/>
      <w:lvlJc w:val="left"/>
      <w:pPr>
        <w:ind w:left="3752" w:hanging="567"/>
      </w:pPr>
      <w:rPr>
        <w:rFonts w:hint="default"/>
        <w:lang w:val="pt-PT" w:eastAsia="en-US" w:bidi="ar-SA"/>
      </w:rPr>
    </w:lvl>
    <w:lvl w:ilvl="3" w:tplc="ADCE525E">
      <w:numFmt w:val="bullet"/>
      <w:lvlText w:val="•"/>
      <w:lvlJc w:val="left"/>
      <w:pPr>
        <w:ind w:left="5388" w:hanging="567"/>
      </w:pPr>
      <w:rPr>
        <w:rFonts w:hint="default"/>
        <w:lang w:val="pt-PT" w:eastAsia="en-US" w:bidi="ar-SA"/>
      </w:rPr>
    </w:lvl>
    <w:lvl w:ilvl="4" w:tplc="7A1C2940">
      <w:numFmt w:val="bullet"/>
      <w:lvlText w:val="•"/>
      <w:lvlJc w:val="left"/>
      <w:pPr>
        <w:ind w:left="7024" w:hanging="567"/>
      </w:pPr>
      <w:rPr>
        <w:rFonts w:hint="default"/>
        <w:lang w:val="pt-PT" w:eastAsia="en-US" w:bidi="ar-SA"/>
      </w:rPr>
    </w:lvl>
    <w:lvl w:ilvl="5" w:tplc="F130890A">
      <w:numFmt w:val="bullet"/>
      <w:lvlText w:val="•"/>
      <w:lvlJc w:val="left"/>
      <w:pPr>
        <w:ind w:left="8660" w:hanging="567"/>
      </w:pPr>
      <w:rPr>
        <w:rFonts w:hint="default"/>
        <w:lang w:val="pt-PT" w:eastAsia="en-US" w:bidi="ar-SA"/>
      </w:rPr>
    </w:lvl>
    <w:lvl w:ilvl="6" w:tplc="D8164A32">
      <w:numFmt w:val="bullet"/>
      <w:lvlText w:val="•"/>
      <w:lvlJc w:val="left"/>
      <w:pPr>
        <w:ind w:left="10296" w:hanging="567"/>
      </w:pPr>
      <w:rPr>
        <w:rFonts w:hint="default"/>
        <w:lang w:val="pt-PT" w:eastAsia="en-US" w:bidi="ar-SA"/>
      </w:rPr>
    </w:lvl>
    <w:lvl w:ilvl="7" w:tplc="C7940EA6">
      <w:numFmt w:val="bullet"/>
      <w:lvlText w:val="•"/>
      <w:lvlJc w:val="left"/>
      <w:pPr>
        <w:ind w:left="11932" w:hanging="567"/>
      </w:pPr>
      <w:rPr>
        <w:rFonts w:hint="default"/>
        <w:lang w:val="pt-PT" w:eastAsia="en-US" w:bidi="ar-SA"/>
      </w:rPr>
    </w:lvl>
    <w:lvl w:ilvl="8" w:tplc="50E61AD0">
      <w:numFmt w:val="bullet"/>
      <w:lvlText w:val="•"/>
      <w:lvlJc w:val="left"/>
      <w:pPr>
        <w:ind w:left="13568" w:hanging="567"/>
      </w:pPr>
      <w:rPr>
        <w:rFonts w:hint="default"/>
        <w:lang w:val="pt-PT" w:eastAsia="en-US" w:bidi="ar-SA"/>
      </w:rPr>
    </w:lvl>
  </w:abstractNum>
  <w:abstractNum w:abstractNumId="2" w15:restartNumberingAfterBreak="0">
    <w:nsid w:val="0F52008D"/>
    <w:multiLevelType w:val="multilevel"/>
    <w:tmpl w:val="961AD49E"/>
    <w:lvl w:ilvl="0">
      <w:start w:val="1"/>
      <w:numFmt w:val="decimal"/>
      <w:lvlText w:val="%1."/>
      <w:lvlJc w:val="left"/>
      <w:pPr>
        <w:ind w:left="1214" w:hanging="224"/>
      </w:pPr>
      <w:rPr>
        <w:rFonts w:ascii="Arial" w:eastAsia="Arial" w:hAnsi="Arial" w:cs="Arial" w:hint="default"/>
        <w:b/>
        <w:bCs/>
        <w:color w:val="404040"/>
        <w:w w:val="97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46" w:hanging="440"/>
      </w:pPr>
      <w:rPr>
        <w:rFonts w:ascii="Arial" w:eastAsia="Arial" w:hAnsi="Arial" w:cs="Arial" w:hint="default"/>
        <w:b/>
        <w:bCs/>
        <w:color w:val="404040"/>
        <w:w w:val="97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4" w:hanging="498"/>
      </w:pPr>
      <w:rPr>
        <w:rFonts w:ascii="Arial" w:eastAsia="Arial" w:hAnsi="Arial" w:cs="Arial" w:hint="default"/>
        <w:b/>
        <w:bCs/>
        <w:color w:val="404040"/>
        <w:w w:val="97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879" w:hanging="668"/>
      </w:pPr>
      <w:rPr>
        <w:rFonts w:hint="default"/>
        <w:b/>
        <w:bCs/>
        <w:spacing w:val="-1"/>
        <w:w w:val="99"/>
        <w:lang w:val="pt-PT" w:eastAsia="en-US" w:bidi="ar-SA"/>
      </w:rPr>
    </w:lvl>
    <w:lvl w:ilvl="4">
      <w:numFmt w:val="bullet"/>
      <w:lvlText w:val="•"/>
      <w:lvlJc w:val="left"/>
      <w:pPr>
        <w:ind w:left="1880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73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66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9360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1853" w:hanging="668"/>
      </w:pPr>
      <w:rPr>
        <w:rFonts w:hint="default"/>
        <w:lang w:val="pt-PT" w:eastAsia="en-US" w:bidi="ar-SA"/>
      </w:rPr>
    </w:lvl>
  </w:abstractNum>
  <w:abstractNum w:abstractNumId="3" w15:restartNumberingAfterBreak="0">
    <w:nsid w:val="19AE53DC"/>
    <w:multiLevelType w:val="multilevel"/>
    <w:tmpl w:val="EC52B462"/>
    <w:lvl w:ilvl="0">
      <w:start w:val="1"/>
      <w:numFmt w:val="decimal"/>
      <w:lvlText w:val="%1."/>
      <w:lvlJc w:val="left"/>
      <w:pPr>
        <w:ind w:left="630" w:hanging="630"/>
      </w:pPr>
      <w:rPr>
        <w:rFonts w:asciiTheme="minorHAnsi" w:eastAsia="Times New Roman" w:hAnsiTheme="minorHAnsi" w:cstheme="minorHAnsi" w:hint="default"/>
        <w:b/>
        <w:sz w:val="40"/>
      </w:rPr>
    </w:lvl>
    <w:lvl w:ilvl="1">
      <w:start w:val="1"/>
      <w:numFmt w:val="decimal"/>
      <w:lvlText w:val="%1.%2."/>
      <w:lvlJc w:val="left"/>
      <w:pPr>
        <w:ind w:left="2898" w:hanging="630"/>
      </w:pPr>
      <w:rPr>
        <w:rFonts w:asciiTheme="minorHAnsi" w:eastAsia="Times New Roman" w:hAnsiTheme="minorHAnsi" w:cstheme="minorHAnsi" w:hint="default"/>
        <w:b/>
        <w:sz w:val="40"/>
      </w:rPr>
    </w:lvl>
    <w:lvl w:ilvl="2">
      <w:start w:val="1"/>
      <w:numFmt w:val="decimal"/>
      <w:lvlText w:val="%1.%2.%3."/>
      <w:lvlJc w:val="left"/>
      <w:pPr>
        <w:ind w:left="5256" w:hanging="720"/>
      </w:pPr>
      <w:rPr>
        <w:rFonts w:asciiTheme="minorHAnsi" w:eastAsia="Times New Roman" w:hAnsiTheme="minorHAnsi" w:cstheme="minorHAnsi" w:hint="default"/>
        <w:b/>
        <w:sz w:val="40"/>
      </w:rPr>
    </w:lvl>
    <w:lvl w:ilvl="3">
      <w:start w:val="1"/>
      <w:numFmt w:val="decimal"/>
      <w:lvlText w:val="%1.%2.%3.%4."/>
      <w:lvlJc w:val="left"/>
      <w:pPr>
        <w:ind w:left="7524" w:hanging="720"/>
      </w:pPr>
      <w:rPr>
        <w:rFonts w:asciiTheme="minorHAnsi" w:eastAsia="Times New Roman" w:hAnsiTheme="minorHAnsi" w:cstheme="minorHAnsi" w:hint="default"/>
        <w:b/>
        <w:sz w:val="40"/>
      </w:rPr>
    </w:lvl>
    <w:lvl w:ilvl="4">
      <w:start w:val="1"/>
      <w:numFmt w:val="decimal"/>
      <w:lvlText w:val="%1.%2.%3.%4.%5."/>
      <w:lvlJc w:val="left"/>
      <w:pPr>
        <w:ind w:left="10152" w:hanging="1080"/>
      </w:pPr>
      <w:rPr>
        <w:rFonts w:asciiTheme="minorHAnsi" w:eastAsia="Times New Roman" w:hAnsiTheme="minorHAnsi" w:cstheme="minorHAnsi" w:hint="default"/>
        <w:b/>
        <w:sz w:val="40"/>
      </w:rPr>
    </w:lvl>
    <w:lvl w:ilvl="5">
      <w:start w:val="1"/>
      <w:numFmt w:val="decimal"/>
      <w:lvlText w:val="%1.%2.%3.%4.%5.%6."/>
      <w:lvlJc w:val="left"/>
      <w:pPr>
        <w:ind w:left="12420" w:hanging="1080"/>
      </w:pPr>
      <w:rPr>
        <w:rFonts w:asciiTheme="minorHAnsi" w:eastAsia="Times New Roman" w:hAnsiTheme="minorHAnsi" w:cstheme="minorHAnsi" w:hint="default"/>
        <w:b/>
        <w:sz w:val="40"/>
      </w:rPr>
    </w:lvl>
    <w:lvl w:ilvl="6">
      <w:start w:val="1"/>
      <w:numFmt w:val="decimal"/>
      <w:lvlText w:val="%1.%2.%3.%4.%5.%6.%7."/>
      <w:lvlJc w:val="left"/>
      <w:pPr>
        <w:ind w:left="15048" w:hanging="1440"/>
      </w:pPr>
      <w:rPr>
        <w:rFonts w:asciiTheme="minorHAnsi" w:eastAsia="Times New Roman" w:hAnsiTheme="minorHAnsi" w:cstheme="minorHAnsi" w:hint="default"/>
        <w:b/>
        <w:sz w:val="40"/>
      </w:rPr>
    </w:lvl>
    <w:lvl w:ilvl="7">
      <w:start w:val="1"/>
      <w:numFmt w:val="decimal"/>
      <w:lvlText w:val="%1.%2.%3.%4.%5.%6.%7.%8."/>
      <w:lvlJc w:val="left"/>
      <w:pPr>
        <w:ind w:left="17316" w:hanging="1440"/>
      </w:pPr>
      <w:rPr>
        <w:rFonts w:asciiTheme="minorHAnsi" w:eastAsia="Times New Roman" w:hAnsiTheme="minorHAnsi" w:cstheme="minorHAnsi" w:hint="default"/>
        <w:b/>
        <w:sz w:val="40"/>
      </w:rPr>
    </w:lvl>
    <w:lvl w:ilvl="8">
      <w:start w:val="1"/>
      <w:numFmt w:val="decimal"/>
      <w:lvlText w:val="%1.%2.%3.%4.%5.%6.%7.%8.%9."/>
      <w:lvlJc w:val="left"/>
      <w:pPr>
        <w:ind w:left="19944" w:hanging="1800"/>
      </w:pPr>
      <w:rPr>
        <w:rFonts w:asciiTheme="minorHAnsi" w:eastAsia="Times New Roman" w:hAnsiTheme="minorHAnsi" w:cstheme="minorHAnsi" w:hint="default"/>
        <w:b/>
        <w:sz w:val="40"/>
      </w:rPr>
    </w:lvl>
  </w:abstractNum>
  <w:abstractNum w:abstractNumId="4" w15:restartNumberingAfterBreak="0">
    <w:nsid w:val="51A61FA9"/>
    <w:multiLevelType w:val="multilevel"/>
    <w:tmpl w:val="56383636"/>
    <w:lvl w:ilvl="0">
      <w:start w:val="2"/>
      <w:numFmt w:val="decimal"/>
      <w:lvlText w:val="%1."/>
      <w:lvlJc w:val="left"/>
      <w:pPr>
        <w:ind w:left="4844" w:hanging="478"/>
      </w:pPr>
      <w:rPr>
        <w:rFonts w:ascii="Calibri" w:eastAsia="Calibri" w:hAnsi="Calibri" w:cs="Calibri" w:hint="default"/>
        <w:b/>
        <w:bCs/>
        <w:i w:val="0"/>
        <w:iCs w:val="0"/>
        <w:spacing w:val="-1"/>
        <w:w w:val="94"/>
        <w:sz w:val="48"/>
        <w:szCs w:val="48"/>
        <w:u w:val="single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6" w:hanging="8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98"/>
        <w:sz w:val="44"/>
        <w:szCs w:val="4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12" w:hanging="800"/>
        <w:jc w:val="right"/>
      </w:pPr>
      <w:rPr>
        <w:rFonts w:hint="default"/>
        <w:spacing w:val="-1"/>
        <w:w w:val="99"/>
        <w:lang w:val="pt-PT" w:eastAsia="en-US" w:bidi="ar-SA"/>
      </w:rPr>
    </w:lvl>
    <w:lvl w:ilvl="3">
      <w:numFmt w:val="bullet"/>
      <w:lvlText w:val="•"/>
      <w:lvlJc w:val="left"/>
      <w:pPr>
        <w:ind w:left="4840" w:hanging="8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239" w:hanging="8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639" w:hanging="8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039" w:hanging="8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439" w:hanging="8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1838" w:hanging="800"/>
      </w:pPr>
      <w:rPr>
        <w:rFonts w:hint="default"/>
        <w:lang w:val="pt-PT" w:eastAsia="en-US" w:bidi="ar-SA"/>
      </w:rPr>
    </w:lvl>
  </w:abstractNum>
  <w:abstractNum w:abstractNumId="5" w15:restartNumberingAfterBreak="0">
    <w:nsid w:val="526F26EA"/>
    <w:multiLevelType w:val="hybridMultilevel"/>
    <w:tmpl w:val="165E8FC4"/>
    <w:lvl w:ilvl="0" w:tplc="BAFA90BE">
      <w:numFmt w:val="bullet"/>
      <w:lvlText w:val=""/>
      <w:lvlJc w:val="left"/>
      <w:pPr>
        <w:ind w:left="333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52DE7514">
      <w:numFmt w:val="bullet"/>
      <w:lvlText w:val=""/>
      <w:lvlJc w:val="left"/>
      <w:pPr>
        <w:ind w:left="9123" w:hanging="135"/>
      </w:pPr>
      <w:rPr>
        <w:rFonts w:ascii="Symbol" w:eastAsia="Symbol" w:hAnsi="Symbol" w:cs="Symbol" w:hint="default"/>
        <w:b w:val="0"/>
        <w:bCs w:val="0"/>
        <w:i w:val="0"/>
        <w:iCs w:val="0"/>
        <w:spacing w:val="5"/>
        <w:w w:val="90"/>
        <w:sz w:val="26"/>
        <w:szCs w:val="26"/>
        <w:lang w:val="pt-PT" w:eastAsia="en-US" w:bidi="ar-SA"/>
      </w:rPr>
    </w:lvl>
    <w:lvl w:ilvl="2" w:tplc="2620237A">
      <w:numFmt w:val="bullet"/>
      <w:lvlText w:val="•"/>
      <w:lvlJc w:val="left"/>
      <w:pPr>
        <w:ind w:left="9977" w:hanging="135"/>
      </w:pPr>
      <w:rPr>
        <w:rFonts w:hint="default"/>
        <w:lang w:val="pt-PT" w:eastAsia="en-US" w:bidi="ar-SA"/>
      </w:rPr>
    </w:lvl>
    <w:lvl w:ilvl="3" w:tplc="816EDA7C">
      <w:numFmt w:val="bullet"/>
      <w:lvlText w:val="•"/>
      <w:lvlJc w:val="left"/>
      <w:pPr>
        <w:ind w:left="10835" w:hanging="135"/>
      </w:pPr>
      <w:rPr>
        <w:rFonts w:hint="default"/>
        <w:lang w:val="pt-PT" w:eastAsia="en-US" w:bidi="ar-SA"/>
      </w:rPr>
    </w:lvl>
    <w:lvl w:ilvl="4" w:tplc="503682F6">
      <w:numFmt w:val="bullet"/>
      <w:lvlText w:val="•"/>
      <w:lvlJc w:val="left"/>
      <w:pPr>
        <w:ind w:left="11693" w:hanging="135"/>
      </w:pPr>
      <w:rPr>
        <w:rFonts w:hint="default"/>
        <w:lang w:val="pt-PT" w:eastAsia="en-US" w:bidi="ar-SA"/>
      </w:rPr>
    </w:lvl>
    <w:lvl w:ilvl="5" w:tplc="A344E002">
      <w:numFmt w:val="bullet"/>
      <w:lvlText w:val="•"/>
      <w:lvlJc w:val="left"/>
      <w:pPr>
        <w:ind w:left="12551" w:hanging="135"/>
      </w:pPr>
      <w:rPr>
        <w:rFonts w:hint="default"/>
        <w:lang w:val="pt-PT" w:eastAsia="en-US" w:bidi="ar-SA"/>
      </w:rPr>
    </w:lvl>
    <w:lvl w:ilvl="6" w:tplc="7220BCA8">
      <w:numFmt w:val="bullet"/>
      <w:lvlText w:val="•"/>
      <w:lvlJc w:val="left"/>
      <w:pPr>
        <w:ind w:left="13409" w:hanging="135"/>
      </w:pPr>
      <w:rPr>
        <w:rFonts w:hint="default"/>
        <w:lang w:val="pt-PT" w:eastAsia="en-US" w:bidi="ar-SA"/>
      </w:rPr>
    </w:lvl>
    <w:lvl w:ilvl="7" w:tplc="F8DCD562">
      <w:numFmt w:val="bullet"/>
      <w:lvlText w:val="•"/>
      <w:lvlJc w:val="left"/>
      <w:pPr>
        <w:ind w:left="14267" w:hanging="135"/>
      </w:pPr>
      <w:rPr>
        <w:rFonts w:hint="default"/>
        <w:lang w:val="pt-PT" w:eastAsia="en-US" w:bidi="ar-SA"/>
      </w:rPr>
    </w:lvl>
    <w:lvl w:ilvl="8" w:tplc="AA0C404C">
      <w:numFmt w:val="bullet"/>
      <w:lvlText w:val="•"/>
      <w:lvlJc w:val="left"/>
      <w:pPr>
        <w:ind w:left="15125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63A56B29"/>
    <w:multiLevelType w:val="multilevel"/>
    <w:tmpl w:val="7220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  <w:b/>
        <w:sz w:val="3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hyphenationZone w:val="425"/>
  <w:characterSpacingControl w:val="doNotCompress"/>
  <w:hdrShapeDefaults>
    <o:shapedefaults v:ext="edit" spidmax="8193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B6"/>
    <w:rsid w:val="0009495A"/>
    <w:rsid w:val="000C7A64"/>
    <w:rsid w:val="000E17C6"/>
    <w:rsid w:val="000F5CCC"/>
    <w:rsid w:val="00105605"/>
    <w:rsid w:val="00113603"/>
    <w:rsid w:val="001253E4"/>
    <w:rsid w:val="00150C7C"/>
    <w:rsid w:val="0015418E"/>
    <w:rsid w:val="00165551"/>
    <w:rsid w:val="001D4E90"/>
    <w:rsid w:val="001E7E76"/>
    <w:rsid w:val="001F1BEB"/>
    <w:rsid w:val="0023281A"/>
    <w:rsid w:val="002549B6"/>
    <w:rsid w:val="00264C63"/>
    <w:rsid w:val="002807CC"/>
    <w:rsid w:val="0029026B"/>
    <w:rsid w:val="002A4AEC"/>
    <w:rsid w:val="002C2DFD"/>
    <w:rsid w:val="002D744C"/>
    <w:rsid w:val="00314FC4"/>
    <w:rsid w:val="003641D6"/>
    <w:rsid w:val="00375FB2"/>
    <w:rsid w:val="003928C3"/>
    <w:rsid w:val="003C0DD4"/>
    <w:rsid w:val="003C58A8"/>
    <w:rsid w:val="003D2F30"/>
    <w:rsid w:val="003F4921"/>
    <w:rsid w:val="0043533E"/>
    <w:rsid w:val="00447EA8"/>
    <w:rsid w:val="0046341F"/>
    <w:rsid w:val="004A686A"/>
    <w:rsid w:val="004B15C4"/>
    <w:rsid w:val="004C11C0"/>
    <w:rsid w:val="004C477C"/>
    <w:rsid w:val="004D788F"/>
    <w:rsid w:val="00516DF7"/>
    <w:rsid w:val="00593F3F"/>
    <w:rsid w:val="005A007B"/>
    <w:rsid w:val="005A06CB"/>
    <w:rsid w:val="005B4866"/>
    <w:rsid w:val="005D2536"/>
    <w:rsid w:val="005F4516"/>
    <w:rsid w:val="0063423C"/>
    <w:rsid w:val="00650BF9"/>
    <w:rsid w:val="00653559"/>
    <w:rsid w:val="00666960"/>
    <w:rsid w:val="006811DA"/>
    <w:rsid w:val="00687857"/>
    <w:rsid w:val="006A186B"/>
    <w:rsid w:val="006A6C8E"/>
    <w:rsid w:val="006B6DDA"/>
    <w:rsid w:val="006F2424"/>
    <w:rsid w:val="00723BB2"/>
    <w:rsid w:val="00740B0E"/>
    <w:rsid w:val="00751A91"/>
    <w:rsid w:val="00753678"/>
    <w:rsid w:val="007673E1"/>
    <w:rsid w:val="007732BF"/>
    <w:rsid w:val="00773FC8"/>
    <w:rsid w:val="00794C84"/>
    <w:rsid w:val="007A76F4"/>
    <w:rsid w:val="007C13F3"/>
    <w:rsid w:val="007F1BB9"/>
    <w:rsid w:val="007F24F6"/>
    <w:rsid w:val="007F6BAD"/>
    <w:rsid w:val="00800B76"/>
    <w:rsid w:val="0081774C"/>
    <w:rsid w:val="00882722"/>
    <w:rsid w:val="00891AFD"/>
    <w:rsid w:val="008B5935"/>
    <w:rsid w:val="008B6AA3"/>
    <w:rsid w:val="008E1DBE"/>
    <w:rsid w:val="008F2728"/>
    <w:rsid w:val="008F3AB0"/>
    <w:rsid w:val="00906C8E"/>
    <w:rsid w:val="009106BE"/>
    <w:rsid w:val="00940722"/>
    <w:rsid w:val="00946325"/>
    <w:rsid w:val="009547B3"/>
    <w:rsid w:val="0098086F"/>
    <w:rsid w:val="0098383F"/>
    <w:rsid w:val="00A111A7"/>
    <w:rsid w:val="00A23F68"/>
    <w:rsid w:val="00A93148"/>
    <w:rsid w:val="00AA6E27"/>
    <w:rsid w:val="00AA777B"/>
    <w:rsid w:val="00AB33DE"/>
    <w:rsid w:val="00AD7E94"/>
    <w:rsid w:val="00AF6BCE"/>
    <w:rsid w:val="00B56EC1"/>
    <w:rsid w:val="00B63691"/>
    <w:rsid w:val="00B65FFD"/>
    <w:rsid w:val="00B857B6"/>
    <w:rsid w:val="00BF0A3E"/>
    <w:rsid w:val="00BF6296"/>
    <w:rsid w:val="00C436FE"/>
    <w:rsid w:val="00C55CBD"/>
    <w:rsid w:val="00C63A4D"/>
    <w:rsid w:val="00C749CA"/>
    <w:rsid w:val="00C7574D"/>
    <w:rsid w:val="00CB0BEE"/>
    <w:rsid w:val="00CC5C16"/>
    <w:rsid w:val="00CE07BC"/>
    <w:rsid w:val="00CF4D1D"/>
    <w:rsid w:val="00D2135C"/>
    <w:rsid w:val="00D41686"/>
    <w:rsid w:val="00D52FEB"/>
    <w:rsid w:val="00D622F7"/>
    <w:rsid w:val="00D6442F"/>
    <w:rsid w:val="00D908E2"/>
    <w:rsid w:val="00D90A8A"/>
    <w:rsid w:val="00E325F9"/>
    <w:rsid w:val="00E84410"/>
    <w:rsid w:val="00EA0CD2"/>
    <w:rsid w:val="00EE5B9A"/>
    <w:rsid w:val="00EF0559"/>
    <w:rsid w:val="00F05C27"/>
    <w:rsid w:val="00F47473"/>
    <w:rsid w:val="00F60073"/>
    <w:rsid w:val="00F62542"/>
    <w:rsid w:val="00F966CE"/>
    <w:rsid w:val="00FC7581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none [3213]"/>
    </o:shapedefaults>
    <o:shapelayout v:ext="edit">
      <o:idmap v:ext="edit" data="1"/>
    </o:shapelayout>
  </w:shapeDefaults>
  <w:decimalSymbol w:val=","/>
  <w:listSeparator w:val=";"/>
  <w15:chartTrackingRefBased/>
  <w15:docId w15:val="{A86ECE96-2942-45A8-85E6-D5270472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549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2549B6"/>
    <w:pPr>
      <w:ind w:left="1558" w:hanging="727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0A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1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549B6"/>
    <w:rPr>
      <w:rFonts w:ascii="Calibri" w:eastAsia="Calibri" w:hAnsi="Calibri" w:cs="Calibri"/>
      <w:b/>
      <w:bCs/>
      <w:sz w:val="32"/>
      <w:szCs w:val="32"/>
      <w:lang w:val="pt-PT"/>
    </w:rPr>
  </w:style>
  <w:style w:type="table" w:customStyle="1" w:styleId="TableNormal">
    <w:name w:val="Table Normal"/>
    <w:uiPriority w:val="2"/>
    <w:semiHidden/>
    <w:unhideWhenUsed/>
    <w:qFormat/>
    <w:rsid w:val="002549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549B6"/>
    <w:rPr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2549B6"/>
    <w:rPr>
      <w:rFonts w:ascii="Calibri" w:eastAsia="Calibri" w:hAnsi="Calibri" w:cs="Calibri"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2549B6"/>
    <w:pPr>
      <w:ind w:left="1118" w:hanging="278"/>
    </w:pPr>
  </w:style>
  <w:style w:type="paragraph" w:customStyle="1" w:styleId="TableParagraph">
    <w:name w:val="Table Paragraph"/>
    <w:basedOn w:val="Normal"/>
    <w:uiPriority w:val="1"/>
    <w:qFormat/>
    <w:rsid w:val="002549B6"/>
    <w:pPr>
      <w:ind w:left="5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2549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49B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49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49B6"/>
    <w:rPr>
      <w:rFonts w:ascii="Calibri" w:eastAsia="Calibri" w:hAnsi="Calibri" w:cs="Calibri"/>
      <w:lang w:val="pt-PT"/>
    </w:rPr>
  </w:style>
  <w:style w:type="paragraph" w:styleId="Sumrio1">
    <w:name w:val="toc 1"/>
    <w:basedOn w:val="Normal"/>
    <w:uiPriority w:val="39"/>
    <w:qFormat/>
    <w:rsid w:val="008B6AA3"/>
    <w:pPr>
      <w:spacing w:before="195"/>
      <w:ind w:left="991" w:hanging="224"/>
    </w:pPr>
    <w:rPr>
      <w:rFonts w:ascii="Arial" w:eastAsia="Arial" w:hAnsi="Arial" w:cs="Arial"/>
      <w:b/>
      <w:bCs/>
      <w:sz w:val="20"/>
      <w:szCs w:val="20"/>
    </w:rPr>
  </w:style>
  <w:style w:type="paragraph" w:styleId="Sumrio2">
    <w:name w:val="toc 2"/>
    <w:basedOn w:val="Normal"/>
    <w:uiPriority w:val="39"/>
    <w:qFormat/>
    <w:rsid w:val="008B6AA3"/>
    <w:pPr>
      <w:spacing w:before="195"/>
      <w:ind w:left="1702" w:hanging="496"/>
    </w:pPr>
    <w:rPr>
      <w:rFonts w:ascii="Arial MT" w:eastAsia="Arial MT" w:hAnsi="Arial MT" w:cs="Arial MT"/>
      <w:sz w:val="20"/>
      <w:szCs w:val="20"/>
    </w:rPr>
  </w:style>
  <w:style w:type="table" w:styleId="Tabelacomgrade">
    <w:name w:val="Table Grid"/>
    <w:basedOn w:val="Tabelanormal"/>
    <w:uiPriority w:val="59"/>
    <w:rsid w:val="00435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6555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65551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0A3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character" w:styleId="nfase">
    <w:name w:val="Emphasis"/>
    <w:basedOn w:val="Fontepargpadro"/>
    <w:uiPriority w:val="20"/>
    <w:qFormat/>
    <w:rsid w:val="00D2135C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14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7C13F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D41686"/>
    <w:pPr>
      <w:widowControl/>
      <w:tabs>
        <w:tab w:val="right" w:leader="dot" w:pos="16840"/>
      </w:tabs>
      <w:autoSpaceDE/>
      <w:autoSpaceDN/>
      <w:spacing w:after="100" w:line="259" w:lineRule="auto"/>
      <w:ind w:left="1134"/>
    </w:pPr>
    <w:rPr>
      <w:rFonts w:ascii="Arial" w:eastAsiaTheme="minorEastAsia" w:hAnsi="Arial" w:cs="Arial"/>
      <w:noProof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D90A8A"/>
    <w:rPr>
      <w:color w:val="0563C1" w:themeColor="hyperlink"/>
      <w:u w:val="single"/>
    </w:rPr>
  </w:style>
  <w:style w:type="table" w:styleId="TabeladeLista4-nfase3">
    <w:name w:val="List Table 4 Accent 3"/>
    <w:basedOn w:val="Tabelanormal"/>
    <w:uiPriority w:val="49"/>
    <w:rsid w:val="00F6254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Lista4">
    <w:name w:val="List Table 4"/>
    <w:basedOn w:val="Tabelanormal"/>
    <w:uiPriority w:val="49"/>
    <w:rsid w:val="00F625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4-nfase2">
    <w:name w:val="List Table 4 Accent 2"/>
    <w:basedOn w:val="Tabelanormal"/>
    <w:uiPriority w:val="49"/>
    <w:rsid w:val="00C749C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Lista4-nfase5">
    <w:name w:val="List Table 4 Accent 5"/>
    <w:basedOn w:val="Tabelanormal"/>
    <w:uiPriority w:val="49"/>
    <w:rsid w:val="00C749C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6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3FF"/>
    <w:rsid w:val="001D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9CED89700BBE41E0B33502D2E706FF54">
    <w:name w:val="9CED89700BBE41E0B33502D2E706FF54"/>
    <w:rsid w:val="001D23FF"/>
  </w:style>
  <w:style w:type="paragraph" w:customStyle="1" w:styleId="612925F7A73E4797BED7FB1F195247C8">
    <w:name w:val="612925F7A73E4797BED7FB1F195247C8"/>
    <w:rsid w:val="001D23FF"/>
  </w:style>
  <w:style w:type="paragraph" w:customStyle="1" w:styleId="6E6BE2A51DFB42A99428794376E6FDD9">
    <w:name w:val="6E6BE2A51DFB42A99428794376E6FDD9"/>
    <w:rsid w:val="001D23FF"/>
  </w:style>
  <w:style w:type="paragraph" w:customStyle="1" w:styleId="DDB4392A948C4924AF71B6707BF94D92">
    <w:name w:val="DDB4392A948C4924AF71B6707BF94D92"/>
    <w:rsid w:val="001D23FF"/>
  </w:style>
  <w:style w:type="paragraph" w:customStyle="1" w:styleId="BB9861BD77394E689E08E22C5E1E0275">
    <w:name w:val="BB9861BD77394E689E08E22C5E1E0275"/>
    <w:rsid w:val="001D23FF"/>
  </w:style>
  <w:style w:type="paragraph" w:customStyle="1" w:styleId="8F35EF35DBB641279091EAA543FB9F0C">
    <w:name w:val="8F35EF35DBB641279091EAA543FB9F0C"/>
    <w:rsid w:val="001D2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A05C8-DA0A-40CC-AB84-B9EA2981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28</Pages>
  <Words>5087</Words>
  <Characters>27472</Characters>
  <Application>Microsoft Office Word</Application>
  <DocSecurity>0</DocSecurity>
  <Lines>228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32495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MARIA DE CASTRO BARBOSA</dc:creator>
  <cp:keywords/>
  <dc:description/>
  <cp:lastModifiedBy>FLAVIA MARIA DE CASTRO BARBOSA</cp:lastModifiedBy>
  <cp:revision>127</cp:revision>
  <cp:lastPrinted>2026-01-29T19:44:00Z</cp:lastPrinted>
  <dcterms:created xsi:type="dcterms:W3CDTF">2026-01-26T14:41:00Z</dcterms:created>
  <dcterms:modified xsi:type="dcterms:W3CDTF">2026-01-29T19:56:00Z</dcterms:modified>
</cp:coreProperties>
</file>